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729C0" w14:textId="70F67BA3" w:rsidR="002B073F" w:rsidRDefault="4927B1E1" w:rsidP="002B073F">
      <w:pPr>
        <w:ind w:left="-720"/>
        <w:rPr>
          <w:b/>
          <w:sz w:val="32"/>
          <w:szCs w:val="32"/>
        </w:rPr>
      </w:pPr>
      <w:r w:rsidRPr="098565D1">
        <w:rPr>
          <w:b/>
          <w:bCs/>
          <w:sz w:val="32"/>
          <w:szCs w:val="32"/>
        </w:rPr>
        <w:t>Is Your Company Prepared to Reintegrate and Resume Operations?</w:t>
      </w:r>
    </w:p>
    <w:p w14:paraId="75C3F2D5" w14:textId="1785A23F" w:rsidR="4927B1E1" w:rsidRDefault="4927B1E1" w:rsidP="098565D1">
      <w:pPr>
        <w:ind w:left="-720"/>
        <w:rPr>
          <w:i/>
          <w:iCs/>
          <w:sz w:val="28"/>
          <w:szCs w:val="28"/>
        </w:rPr>
      </w:pPr>
      <w:r w:rsidRPr="098565D1">
        <w:rPr>
          <w:i/>
          <w:iCs/>
          <w:sz w:val="28"/>
          <w:szCs w:val="28"/>
        </w:rPr>
        <w:t>SOCMA Members Offer Guidance for Safe Return of Employees</w:t>
      </w:r>
    </w:p>
    <w:p w14:paraId="0D2C4808" w14:textId="7C88AD29" w:rsidR="0052230B" w:rsidRPr="0052230B" w:rsidRDefault="0052230B" w:rsidP="0052230B">
      <w:pPr>
        <w:ind w:left="-720"/>
        <w:rPr>
          <w:bCs/>
          <w:sz w:val="20"/>
        </w:rPr>
      </w:pPr>
      <w:r w:rsidRPr="0052230B">
        <w:rPr>
          <w:bCs/>
          <w:sz w:val="20"/>
        </w:rPr>
        <w:t xml:space="preserve">COVID-19, which was first recognized as a pandemic in March 2020, has tremendously impacted the way the fine and specialty chemical value chain is conducting business. Quickly designated as critical infrastructure and its employees essential, in mid-March companies across the industry made unprecedented decisions to ensure public health and safety by sending their admin, sales, engineers and R&amp;D personnel home to telework. This move further reduced exposure to the virus for “essential workers” on their plant floors. By April 2020, the unparalleled decisions made by these companies helped define processes and procedures that are now part of the “new normal.” </w:t>
      </w:r>
    </w:p>
    <w:p w14:paraId="7D0F240E" w14:textId="77777777" w:rsidR="00702594" w:rsidRPr="00702594" w:rsidRDefault="00702594" w:rsidP="00702594">
      <w:pPr>
        <w:ind w:left="-720"/>
        <w:rPr>
          <w:bCs/>
          <w:sz w:val="20"/>
        </w:rPr>
      </w:pPr>
      <w:r w:rsidRPr="00702594">
        <w:rPr>
          <w:bCs/>
          <w:sz w:val="20"/>
        </w:rPr>
        <w:t>As Shelter-In-Place orders are lifted across the country, companies within the specialty chemical value chain are now seeking safe and effective measures to reintegrate employees who have been teleworking back into the workplace. While understanding that operations cannot resume as they once were, industry thought leaders shared the following measures for companies to consider as they resume full operations within their facilities. This is also a perfect opportunity to evaluate and improve upon processes moving forward.</w:t>
      </w:r>
    </w:p>
    <w:p w14:paraId="5834DDEF" w14:textId="219F6975" w:rsidR="00786A1C" w:rsidRPr="00786A1C" w:rsidRDefault="00786A1C" w:rsidP="00786A1C">
      <w:pPr>
        <w:ind w:left="-720"/>
        <w:rPr>
          <w:bCs/>
          <w:sz w:val="20"/>
        </w:rPr>
      </w:pPr>
      <w:r w:rsidRPr="00786A1C">
        <w:rPr>
          <w:bCs/>
          <w:sz w:val="20"/>
        </w:rPr>
        <w:t xml:space="preserve">Below are </w:t>
      </w:r>
      <w:r w:rsidRPr="00786A1C">
        <w:rPr>
          <w:b/>
          <w:bCs/>
          <w:sz w:val="20"/>
        </w:rPr>
        <w:t xml:space="preserve">goals your company may consider </w:t>
      </w:r>
      <w:proofErr w:type="gramStart"/>
      <w:r w:rsidRPr="00786A1C">
        <w:rPr>
          <w:b/>
          <w:bCs/>
          <w:sz w:val="20"/>
        </w:rPr>
        <w:t>to ensure</w:t>
      </w:r>
      <w:proofErr w:type="gramEnd"/>
      <w:r w:rsidRPr="00786A1C">
        <w:rPr>
          <w:b/>
          <w:bCs/>
          <w:sz w:val="20"/>
        </w:rPr>
        <w:t xml:space="preserve"> health and safety of employees</w:t>
      </w:r>
      <w:r w:rsidRPr="00786A1C">
        <w:rPr>
          <w:bCs/>
          <w:sz w:val="20"/>
        </w:rPr>
        <w:t>, as well as</w:t>
      </w:r>
      <w:r w:rsidRPr="00786A1C">
        <w:rPr>
          <w:b/>
          <w:bCs/>
          <w:sz w:val="20"/>
        </w:rPr>
        <w:t xml:space="preserve"> potential solutions and suggested actions you can take to achieve each goal.</w:t>
      </w:r>
      <w:r w:rsidRPr="00786A1C">
        <w:rPr>
          <w:bCs/>
          <w:sz w:val="20"/>
        </w:rPr>
        <w:t xml:space="preserve">   </w:t>
      </w:r>
    </w:p>
    <w:p w14:paraId="7F330F9C" w14:textId="77777777" w:rsidR="00786A1C" w:rsidRPr="00786A1C" w:rsidRDefault="00786A1C" w:rsidP="00786A1C">
      <w:pPr>
        <w:ind w:left="-720"/>
        <w:rPr>
          <w:b/>
          <w:bCs/>
          <w:sz w:val="20"/>
        </w:rPr>
      </w:pPr>
      <w:r w:rsidRPr="00786A1C">
        <w:rPr>
          <w:b/>
          <w:bCs/>
          <w:sz w:val="20"/>
        </w:rPr>
        <w:t xml:space="preserve">The following information was shared by three companies of varying size and geographic location to ensure a wide representation of actions your company may consider. </w:t>
      </w:r>
    </w:p>
    <w:tbl>
      <w:tblPr>
        <w:tblStyle w:val="TableGrid"/>
        <w:tblW w:w="11160" w:type="dxa"/>
        <w:tblInd w:w="-905" w:type="dxa"/>
        <w:tblLook w:val="04A0" w:firstRow="1" w:lastRow="0" w:firstColumn="1" w:lastColumn="0" w:noHBand="0" w:noVBand="1"/>
      </w:tblPr>
      <w:tblGrid>
        <w:gridCol w:w="2269"/>
        <w:gridCol w:w="8891"/>
      </w:tblGrid>
      <w:tr w:rsidR="000A0D86" w:rsidRPr="00302CC6" w14:paraId="4997DB20" w14:textId="77777777" w:rsidTr="000732E7">
        <w:trPr>
          <w:trHeight w:val="548"/>
        </w:trPr>
        <w:tc>
          <w:tcPr>
            <w:tcW w:w="11160" w:type="dxa"/>
            <w:gridSpan w:val="2"/>
            <w:shd w:val="clear" w:color="auto" w:fill="2F5496" w:themeFill="accent1" w:themeFillShade="BF"/>
          </w:tcPr>
          <w:p w14:paraId="1EE4C64B" w14:textId="5222DAC0" w:rsidR="000732E7" w:rsidRPr="000732E7" w:rsidRDefault="006A2950" w:rsidP="000732E7">
            <w:pPr>
              <w:rPr>
                <w:rFonts w:ascii="FS Me" w:hAnsi="FS Me"/>
                <w:b/>
                <w:bCs/>
                <w:color w:val="FFFFFF" w:themeColor="background1"/>
              </w:rPr>
            </w:pPr>
            <w:r w:rsidRPr="006A2950">
              <w:rPr>
                <w:rFonts w:ascii="FS Me" w:hAnsi="FS Me"/>
                <w:b/>
                <w:bCs/>
                <w:color w:val="FFFFFF" w:themeColor="background1"/>
                <w:sz w:val="12"/>
                <w:szCs w:val="12"/>
              </w:rPr>
              <w:br/>
            </w:r>
            <w:r w:rsidR="000732E7" w:rsidRPr="000732E7">
              <w:rPr>
                <w:rFonts w:ascii="FS Me" w:hAnsi="FS Me"/>
                <w:b/>
                <w:bCs/>
                <w:color w:val="FFFFFF" w:themeColor="background1"/>
              </w:rPr>
              <w:t>Core Consideration #1: Employee Safety &amp; Concerns</w:t>
            </w:r>
          </w:p>
        </w:tc>
      </w:tr>
      <w:tr w:rsidR="000E1E00" w:rsidRPr="00302CC6" w14:paraId="5A2387E8" w14:textId="77777777" w:rsidTr="008D5023">
        <w:trPr>
          <w:trHeight w:val="350"/>
        </w:trPr>
        <w:tc>
          <w:tcPr>
            <w:tcW w:w="2269" w:type="dxa"/>
            <w:vAlign w:val="center"/>
          </w:tcPr>
          <w:p w14:paraId="16C87E5E" w14:textId="1E2ED38A" w:rsidR="000E1E00" w:rsidRPr="008D5023" w:rsidRDefault="006B2F8B" w:rsidP="008D5023">
            <w:pPr>
              <w:rPr>
                <w:b/>
                <w:sz w:val="20"/>
                <w:szCs w:val="20"/>
              </w:rPr>
            </w:pPr>
            <w:r w:rsidRPr="008D5023">
              <w:rPr>
                <w:b/>
                <w:sz w:val="20"/>
                <w:szCs w:val="20"/>
              </w:rPr>
              <w:t>Goal</w:t>
            </w:r>
          </w:p>
        </w:tc>
        <w:tc>
          <w:tcPr>
            <w:tcW w:w="8891" w:type="dxa"/>
            <w:vAlign w:val="center"/>
          </w:tcPr>
          <w:p w14:paraId="24A49CE3" w14:textId="43B9D358" w:rsidR="000E1E00" w:rsidRPr="008D5023" w:rsidRDefault="00243C6D" w:rsidP="003F575D">
            <w:pPr>
              <w:rPr>
                <w:b/>
                <w:sz w:val="20"/>
                <w:szCs w:val="20"/>
              </w:rPr>
            </w:pPr>
            <w:r w:rsidRPr="008D5023">
              <w:rPr>
                <w:b/>
                <w:sz w:val="20"/>
                <w:szCs w:val="20"/>
              </w:rPr>
              <w:t xml:space="preserve">Solution + </w:t>
            </w:r>
            <w:r w:rsidR="00A76F31" w:rsidRPr="008D5023">
              <w:rPr>
                <w:b/>
                <w:sz w:val="20"/>
                <w:szCs w:val="20"/>
              </w:rPr>
              <w:t>Action</w:t>
            </w:r>
          </w:p>
        </w:tc>
      </w:tr>
      <w:tr w:rsidR="00CA0332" w14:paraId="28F9A938" w14:textId="77777777" w:rsidTr="008D5023">
        <w:tc>
          <w:tcPr>
            <w:tcW w:w="2269" w:type="dxa"/>
          </w:tcPr>
          <w:p w14:paraId="1DDCA206" w14:textId="11B28F0F" w:rsidR="00CA0332" w:rsidRPr="008D5023" w:rsidRDefault="00212284" w:rsidP="008D5023">
            <w:pPr>
              <w:rPr>
                <w:b/>
                <w:sz w:val="20"/>
                <w:szCs w:val="20"/>
              </w:rPr>
            </w:pPr>
            <w:r w:rsidRPr="003F575D">
              <w:rPr>
                <w:b/>
                <w:bCs/>
                <w:sz w:val="20"/>
                <w:szCs w:val="20"/>
              </w:rPr>
              <w:br/>
              <w:t>Decrease</w:t>
            </w:r>
            <w:r w:rsidR="00CA0332" w:rsidRPr="008D5023">
              <w:rPr>
                <w:b/>
                <w:sz w:val="20"/>
                <w:szCs w:val="20"/>
              </w:rPr>
              <w:t xml:space="preserve"> employee </w:t>
            </w:r>
            <w:r w:rsidR="00CA0332" w:rsidRPr="003F575D">
              <w:rPr>
                <w:b/>
                <w:bCs/>
                <w:sz w:val="20"/>
                <w:szCs w:val="20"/>
              </w:rPr>
              <w:t xml:space="preserve">fear, </w:t>
            </w:r>
            <w:proofErr w:type="gramStart"/>
            <w:r w:rsidR="00CA0332" w:rsidRPr="003F575D">
              <w:rPr>
                <w:b/>
                <w:bCs/>
                <w:sz w:val="20"/>
                <w:szCs w:val="20"/>
              </w:rPr>
              <w:t>anxie</w:t>
            </w:r>
            <w:r w:rsidRPr="003F575D">
              <w:rPr>
                <w:b/>
                <w:bCs/>
                <w:sz w:val="20"/>
                <w:szCs w:val="20"/>
              </w:rPr>
              <w:t>ty</w:t>
            </w:r>
            <w:proofErr w:type="gramEnd"/>
            <w:r w:rsidR="00CA0332" w:rsidRPr="008D5023">
              <w:rPr>
                <w:b/>
                <w:sz w:val="20"/>
                <w:szCs w:val="20"/>
              </w:rPr>
              <w:t xml:space="preserve"> and </w:t>
            </w:r>
            <w:r w:rsidR="00CA0332" w:rsidRPr="003F575D">
              <w:rPr>
                <w:b/>
                <w:bCs/>
                <w:sz w:val="20"/>
                <w:szCs w:val="20"/>
              </w:rPr>
              <w:t>uncertaint</w:t>
            </w:r>
            <w:r w:rsidRPr="003F575D">
              <w:rPr>
                <w:b/>
                <w:bCs/>
                <w:sz w:val="20"/>
                <w:szCs w:val="20"/>
              </w:rPr>
              <w:t>y</w:t>
            </w:r>
          </w:p>
          <w:p w14:paraId="1954FA61" w14:textId="54500BAC" w:rsidR="00CA0332" w:rsidRPr="008D5023" w:rsidRDefault="00CA0332" w:rsidP="009A0169">
            <w:pPr>
              <w:jc w:val="center"/>
              <w:rPr>
                <w:b/>
                <w:sz w:val="20"/>
                <w:szCs w:val="20"/>
              </w:rPr>
            </w:pPr>
          </w:p>
        </w:tc>
        <w:tc>
          <w:tcPr>
            <w:tcW w:w="8891" w:type="dxa"/>
          </w:tcPr>
          <w:p w14:paraId="3CD79A9A" w14:textId="77777777" w:rsidR="002C7061" w:rsidRDefault="002C7061" w:rsidP="0011316C">
            <w:pPr>
              <w:rPr>
                <w:b/>
                <w:bCs/>
                <w:sz w:val="20"/>
                <w:szCs w:val="20"/>
              </w:rPr>
            </w:pPr>
          </w:p>
          <w:p w14:paraId="5257AD18" w14:textId="48CEB3E1" w:rsidR="0011316C" w:rsidRDefault="0011316C" w:rsidP="0011316C">
            <w:pPr>
              <w:rPr>
                <w:b/>
                <w:bCs/>
                <w:sz w:val="20"/>
                <w:szCs w:val="20"/>
              </w:rPr>
            </w:pPr>
            <w:r w:rsidRPr="0011316C">
              <w:rPr>
                <w:b/>
                <w:bCs/>
                <w:sz w:val="20"/>
                <w:szCs w:val="20"/>
              </w:rPr>
              <w:t xml:space="preserve">Administrative Controls: </w:t>
            </w:r>
          </w:p>
          <w:p w14:paraId="4193CE3F" w14:textId="5EC7EB91" w:rsidR="00D47528" w:rsidRPr="00D47528" w:rsidRDefault="00D47528" w:rsidP="00D47528">
            <w:pPr>
              <w:pStyle w:val="ListParagraph"/>
              <w:numPr>
                <w:ilvl w:val="0"/>
                <w:numId w:val="19"/>
              </w:numPr>
              <w:rPr>
                <w:rFonts w:cstheme="minorHAnsi"/>
                <w:b/>
                <w:bCs/>
                <w:sz w:val="20"/>
                <w:szCs w:val="20"/>
              </w:rPr>
            </w:pPr>
            <w:r w:rsidRPr="00D47528">
              <w:rPr>
                <w:rFonts w:cstheme="minorHAnsi"/>
                <w:sz w:val="20"/>
                <w:szCs w:val="20"/>
              </w:rPr>
              <w:t>Establish a leadership team,</w:t>
            </w:r>
            <w:r w:rsidR="00D47E6D">
              <w:rPr>
                <w:rFonts w:cstheme="minorHAnsi"/>
                <w:sz w:val="20"/>
                <w:szCs w:val="20"/>
              </w:rPr>
              <w:t xml:space="preserve"> COVID-19 task force</w:t>
            </w:r>
            <w:r w:rsidRPr="00D47528">
              <w:rPr>
                <w:rFonts w:cstheme="minorHAnsi"/>
                <w:sz w:val="20"/>
                <w:szCs w:val="20"/>
              </w:rPr>
              <w:t xml:space="preserve"> or utilize your HR department to ensure all federal guidelines are met and company policies reflect employee safety and health as priority. </w:t>
            </w:r>
          </w:p>
          <w:p w14:paraId="5E5C0C32" w14:textId="77777777" w:rsidR="00D47528" w:rsidRPr="00D47528" w:rsidRDefault="00D47528" w:rsidP="00D47528">
            <w:pPr>
              <w:pStyle w:val="ListParagraph"/>
              <w:numPr>
                <w:ilvl w:val="0"/>
                <w:numId w:val="19"/>
              </w:numPr>
              <w:rPr>
                <w:rFonts w:cstheme="minorHAnsi"/>
                <w:b/>
                <w:bCs/>
                <w:sz w:val="20"/>
                <w:szCs w:val="20"/>
              </w:rPr>
            </w:pPr>
            <w:r w:rsidRPr="00D47528">
              <w:rPr>
                <w:rFonts w:cstheme="minorHAnsi"/>
                <w:sz w:val="20"/>
                <w:szCs w:val="20"/>
              </w:rPr>
              <w:t>Establish or utilize existing employee assistance programs (EAP).</w:t>
            </w:r>
          </w:p>
          <w:p w14:paraId="0C4CB4AE" w14:textId="77777777" w:rsidR="00D47528" w:rsidRPr="00D47528" w:rsidRDefault="00D47528" w:rsidP="00D47528">
            <w:pPr>
              <w:pStyle w:val="ListParagraph"/>
              <w:numPr>
                <w:ilvl w:val="0"/>
                <w:numId w:val="19"/>
              </w:numPr>
              <w:rPr>
                <w:rFonts w:cstheme="minorHAnsi"/>
                <w:b/>
                <w:bCs/>
                <w:sz w:val="20"/>
                <w:szCs w:val="20"/>
              </w:rPr>
            </w:pPr>
            <w:r w:rsidRPr="00D47528">
              <w:rPr>
                <w:rFonts w:cstheme="minorHAnsi"/>
                <w:sz w:val="20"/>
                <w:szCs w:val="20"/>
              </w:rPr>
              <w:t xml:space="preserve">Allow a special enrollment period for employees to receive health insurance. </w:t>
            </w:r>
          </w:p>
          <w:p w14:paraId="75BC3ADE" w14:textId="7EA164AB" w:rsidR="00D47528" w:rsidRPr="00587807" w:rsidRDefault="00D47528" w:rsidP="00D47528">
            <w:pPr>
              <w:pStyle w:val="ListParagraph"/>
              <w:numPr>
                <w:ilvl w:val="0"/>
                <w:numId w:val="19"/>
              </w:numPr>
              <w:rPr>
                <w:rFonts w:cstheme="minorHAnsi"/>
                <w:b/>
                <w:bCs/>
                <w:sz w:val="20"/>
                <w:szCs w:val="20"/>
              </w:rPr>
            </w:pPr>
            <w:r w:rsidRPr="00D47528">
              <w:rPr>
                <w:rFonts w:cstheme="minorHAnsi"/>
                <w:sz w:val="20"/>
                <w:szCs w:val="20"/>
              </w:rPr>
              <w:t xml:space="preserve">Implement social distancing guidelines and ensure continued adherence. </w:t>
            </w:r>
          </w:p>
          <w:p w14:paraId="109FFDFE" w14:textId="62892E08" w:rsidR="00587807" w:rsidRPr="00797A7E" w:rsidRDefault="00797A7E" w:rsidP="00797A7E">
            <w:pPr>
              <w:pStyle w:val="ListParagraph"/>
              <w:numPr>
                <w:ilvl w:val="0"/>
                <w:numId w:val="19"/>
              </w:numPr>
              <w:rPr>
                <w:rFonts w:cstheme="minorHAnsi"/>
                <w:sz w:val="20"/>
                <w:szCs w:val="20"/>
              </w:rPr>
            </w:pPr>
            <w:r w:rsidRPr="00797A7E">
              <w:rPr>
                <w:rFonts w:cstheme="minorHAnsi"/>
                <w:sz w:val="20"/>
                <w:szCs w:val="20"/>
              </w:rPr>
              <w:t xml:space="preserve">Make readily available to all employees any company policies or guidelines that help to mitigate COVID-19 and other illnesses. </w:t>
            </w:r>
          </w:p>
          <w:p w14:paraId="512B57AD" w14:textId="77777777" w:rsidR="00D47528" w:rsidRPr="00D47528" w:rsidRDefault="00D47528" w:rsidP="00D47528">
            <w:pPr>
              <w:pStyle w:val="ListParagraph"/>
              <w:numPr>
                <w:ilvl w:val="0"/>
                <w:numId w:val="19"/>
              </w:numPr>
              <w:rPr>
                <w:rFonts w:cstheme="minorHAnsi"/>
                <w:sz w:val="20"/>
                <w:szCs w:val="20"/>
              </w:rPr>
            </w:pPr>
            <w:r w:rsidRPr="00D47528">
              <w:rPr>
                <w:rFonts w:cstheme="minorHAnsi"/>
                <w:sz w:val="20"/>
                <w:szCs w:val="20"/>
              </w:rPr>
              <w:t xml:space="preserve">Initiate a company travel policy and determine triggers for when to lift those restrictions. </w:t>
            </w:r>
          </w:p>
          <w:p w14:paraId="7A0A3C07" w14:textId="1FA1332E" w:rsidR="009F16FF" w:rsidRDefault="00D47528" w:rsidP="00D47528">
            <w:pPr>
              <w:pStyle w:val="ListParagraph"/>
              <w:numPr>
                <w:ilvl w:val="0"/>
                <w:numId w:val="19"/>
              </w:numPr>
              <w:rPr>
                <w:rFonts w:cstheme="minorHAnsi"/>
                <w:sz w:val="20"/>
                <w:szCs w:val="20"/>
              </w:rPr>
            </w:pPr>
            <w:r w:rsidRPr="00D47528">
              <w:rPr>
                <w:rFonts w:cstheme="minorHAnsi"/>
                <w:sz w:val="20"/>
                <w:szCs w:val="20"/>
              </w:rPr>
              <w:t>Review and confirm that you have ample supply of personal protective equipment (PPE) and establish a policy for your team.</w:t>
            </w:r>
          </w:p>
          <w:p w14:paraId="52CDFC81" w14:textId="496C0E65" w:rsidR="00200AB5" w:rsidRPr="00934287" w:rsidRDefault="00D95225" w:rsidP="00934287">
            <w:pPr>
              <w:pStyle w:val="ListParagraph"/>
              <w:numPr>
                <w:ilvl w:val="0"/>
                <w:numId w:val="19"/>
              </w:numPr>
              <w:rPr>
                <w:rFonts w:cstheme="minorHAnsi"/>
                <w:sz w:val="20"/>
                <w:szCs w:val="20"/>
              </w:rPr>
            </w:pPr>
            <w:r>
              <w:rPr>
                <w:rFonts w:cstheme="minorHAnsi"/>
                <w:sz w:val="20"/>
                <w:szCs w:val="20"/>
              </w:rPr>
              <w:t xml:space="preserve">Retain a local doctor if possible for access to </w:t>
            </w:r>
            <w:r w:rsidR="00B75ACA">
              <w:rPr>
                <w:rFonts w:cstheme="minorHAnsi"/>
                <w:sz w:val="20"/>
                <w:szCs w:val="20"/>
              </w:rPr>
              <w:t xml:space="preserve">health-related questions and information. </w:t>
            </w:r>
          </w:p>
          <w:p w14:paraId="6C162796" w14:textId="3ACB8B00" w:rsidR="00CA0332" w:rsidRPr="003F575D" w:rsidRDefault="00CA0332" w:rsidP="009F16FF">
            <w:pPr>
              <w:rPr>
                <w:b/>
                <w:bCs/>
                <w:sz w:val="20"/>
                <w:szCs w:val="20"/>
              </w:rPr>
            </w:pPr>
          </w:p>
        </w:tc>
      </w:tr>
      <w:tr w:rsidR="0038223F" w:rsidRPr="00DC27E7" w14:paraId="093F20D2" w14:textId="77777777" w:rsidTr="008D5023">
        <w:tc>
          <w:tcPr>
            <w:tcW w:w="2269" w:type="dxa"/>
          </w:tcPr>
          <w:p w14:paraId="75113EF6" w14:textId="21D9B995" w:rsidR="0038223F" w:rsidRPr="008D5023" w:rsidRDefault="0038223F" w:rsidP="0038223F">
            <w:pPr>
              <w:rPr>
                <w:b/>
                <w:sz w:val="20"/>
                <w:szCs w:val="20"/>
              </w:rPr>
            </w:pPr>
            <w:r w:rsidRPr="003F575D">
              <w:rPr>
                <w:b/>
                <w:bCs/>
                <w:sz w:val="20"/>
                <w:szCs w:val="20"/>
              </w:rPr>
              <w:br/>
            </w:r>
            <w:r w:rsidR="002C7061">
              <w:rPr>
                <w:b/>
                <w:sz w:val="20"/>
                <w:szCs w:val="20"/>
              </w:rPr>
              <w:t xml:space="preserve">Safely reintegrate staff onto work premises </w:t>
            </w:r>
          </w:p>
        </w:tc>
        <w:tc>
          <w:tcPr>
            <w:tcW w:w="8891" w:type="dxa"/>
          </w:tcPr>
          <w:p w14:paraId="2299C821" w14:textId="77777777" w:rsidR="002C7061" w:rsidRDefault="002C7061" w:rsidP="009F16FF">
            <w:pPr>
              <w:rPr>
                <w:rFonts w:cstheme="minorHAnsi"/>
                <w:b/>
                <w:bCs/>
                <w:sz w:val="20"/>
                <w:szCs w:val="20"/>
              </w:rPr>
            </w:pPr>
          </w:p>
          <w:p w14:paraId="1B2E39CB" w14:textId="3652D3F2" w:rsidR="0038223F" w:rsidRPr="009F16FF" w:rsidRDefault="0038223F" w:rsidP="009F16FF">
            <w:pPr>
              <w:rPr>
                <w:rFonts w:cstheme="minorHAnsi"/>
                <w:b/>
                <w:bCs/>
                <w:sz w:val="20"/>
                <w:szCs w:val="20"/>
              </w:rPr>
            </w:pPr>
            <w:r w:rsidRPr="009F16FF">
              <w:rPr>
                <w:rFonts w:cstheme="minorHAnsi"/>
                <w:b/>
                <w:bCs/>
                <w:sz w:val="20"/>
                <w:szCs w:val="20"/>
              </w:rPr>
              <w:t>Utilize a Phased Approach:</w:t>
            </w:r>
            <w:r w:rsidRPr="009F16FF">
              <w:rPr>
                <w:rFonts w:cstheme="minorHAnsi"/>
                <w:sz w:val="20"/>
                <w:szCs w:val="20"/>
              </w:rPr>
              <w:t xml:space="preserve"> </w:t>
            </w:r>
          </w:p>
          <w:p w14:paraId="5361F070" w14:textId="77777777" w:rsidR="00D47528" w:rsidRPr="00D47528" w:rsidRDefault="0038223F" w:rsidP="00D47528">
            <w:pPr>
              <w:pStyle w:val="ListParagraph"/>
              <w:numPr>
                <w:ilvl w:val="0"/>
                <w:numId w:val="20"/>
              </w:numPr>
              <w:rPr>
                <w:rFonts w:cstheme="minorHAnsi"/>
                <w:b/>
                <w:bCs/>
                <w:sz w:val="20"/>
                <w:szCs w:val="20"/>
              </w:rPr>
            </w:pPr>
            <w:r w:rsidRPr="00D47528">
              <w:rPr>
                <w:rFonts w:cstheme="minorHAnsi"/>
                <w:sz w:val="20"/>
                <w:szCs w:val="20"/>
              </w:rPr>
              <w:t>Consider staggered shifts, work hours and departmental returns. (i.e. return of R&amp;D, then admin, sales, etc.)</w:t>
            </w:r>
          </w:p>
          <w:p w14:paraId="5E99C1CD" w14:textId="5395020A" w:rsidR="0038223F" w:rsidRPr="008375B8" w:rsidRDefault="0038223F" w:rsidP="00D47528">
            <w:pPr>
              <w:pStyle w:val="ListParagraph"/>
              <w:numPr>
                <w:ilvl w:val="0"/>
                <w:numId w:val="20"/>
              </w:numPr>
              <w:rPr>
                <w:rFonts w:cstheme="minorHAnsi"/>
                <w:b/>
                <w:bCs/>
                <w:sz w:val="20"/>
                <w:szCs w:val="20"/>
              </w:rPr>
            </w:pPr>
            <w:r w:rsidRPr="00D47528">
              <w:rPr>
                <w:rFonts w:cstheme="minorHAnsi"/>
                <w:sz w:val="20"/>
                <w:szCs w:val="20"/>
              </w:rPr>
              <w:t>Consider whether some teams can continue to telework for the foreseeable future.</w:t>
            </w:r>
          </w:p>
          <w:p w14:paraId="167C2D40" w14:textId="0C36AC7F" w:rsidR="008375B8" w:rsidRPr="00CA02BA" w:rsidRDefault="008375B8" w:rsidP="00CA02BA">
            <w:pPr>
              <w:pStyle w:val="ListParagraph"/>
              <w:numPr>
                <w:ilvl w:val="0"/>
                <w:numId w:val="20"/>
              </w:numPr>
              <w:rPr>
                <w:rFonts w:cstheme="minorHAnsi"/>
                <w:sz w:val="20"/>
                <w:szCs w:val="20"/>
              </w:rPr>
            </w:pPr>
            <w:r w:rsidRPr="008375B8">
              <w:rPr>
                <w:rFonts w:cstheme="minorHAnsi"/>
                <w:sz w:val="20"/>
                <w:szCs w:val="20"/>
              </w:rPr>
              <w:t xml:space="preserve">Be prepared to proactively step back a phase if health data suggests the need to do so. </w:t>
            </w:r>
          </w:p>
          <w:p w14:paraId="34FD0910" w14:textId="77777777" w:rsidR="00D47528" w:rsidRPr="00D47528" w:rsidRDefault="00D47528" w:rsidP="00D47528">
            <w:pPr>
              <w:pStyle w:val="ListParagraph"/>
              <w:rPr>
                <w:rFonts w:cstheme="minorHAnsi"/>
                <w:b/>
                <w:bCs/>
                <w:sz w:val="20"/>
                <w:szCs w:val="20"/>
              </w:rPr>
            </w:pPr>
          </w:p>
          <w:p w14:paraId="4BACB5D4" w14:textId="77777777" w:rsidR="0038223F" w:rsidRPr="009F16FF" w:rsidRDefault="0038223F" w:rsidP="009F16FF">
            <w:pPr>
              <w:rPr>
                <w:rFonts w:cstheme="minorHAnsi"/>
                <w:b/>
                <w:bCs/>
                <w:sz w:val="20"/>
                <w:szCs w:val="20"/>
              </w:rPr>
            </w:pPr>
            <w:r w:rsidRPr="009F16FF">
              <w:rPr>
                <w:rFonts w:cstheme="minorHAnsi"/>
                <w:b/>
                <w:bCs/>
                <w:sz w:val="20"/>
                <w:szCs w:val="20"/>
              </w:rPr>
              <w:t xml:space="preserve">Screening Requirements to Enter Onsite: </w:t>
            </w:r>
          </w:p>
          <w:p w14:paraId="3BC8767C" w14:textId="77777777" w:rsidR="0038223F" w:rsidRPr="009F16FF" w:rsidRDefault="0038223F" w:rsidP="009F16FF">
            <w:pPr>
              <w:pStyle w:val="ListParagraph"/>
              <w:numPr>
                <w:ilvl w:val="0"/>
                <w:numId w:val="18"/>
              </w:numPr>
              <w:rPr>
                <w:rFonts w:cstheme="minorHAnsi"/>
                <w:b/>
                <w:bCs/>
                <w:sz w:val="20"/>
                <w:szCs w:val="20"/>
              </w:rPr>
            </w:pPr>
            <w:r w:rsidRPr="009F16FF">
              <w:rPr>
                <w:rFonts w:cstheme="minorHAnsi"/>
                <w:sz w:val="20"/>
                <w:szCs w:val="20"/>
              </w:rPr>
              <w:t>Require employee temperature screens (either at home or before entering the building)</w:t>
            </w:r>
          </w:p>
          <w:p w14:paraId="14763F2D" w14:textId="148CD17B" w:rsidR="0038223F" w:rsidRPr="00F47DAD" w:rsidRDefault="0038223F" w:rsidP="009F16FF">
            <w:pPr>
              <w:pStyle w:val="ListParagraph"/>
              <w:numPr>
                <w:ilvl w:val="0"/>
                <w:numId w:val="18"/>
              </w:numPr>
              <w:rPr>
                <w:rFonts w:cstheme="minorHAnsi"/>
                <w:b/>
                <w:bCs/>
                <w:sz w:val="20"/>
                <w:szCs w:val="20"/>
              </w:rPr>
            </w:pPr>
            <w:r w:rsidRPr="009F16FF">
              <w:rPr>
                <w:rFonts w:cstheme="minorHAnsi"/>
                <w:sz w:val="20"/>
                <w:szCs w:val="20"/>
              </w:rPr>
              <w:t>Monitor contact tracing</w:t>
            </w:r>
          </w:p>
          <w:p w14:paraId="794D1FF1" w14:textId="01324899" w:rsidR="00F47DAD" w:rsidRPr="00F47DAD" w:rsidRDefault="00F47DAD" w:rsidP="009F16FF">
            <w:pPr>
              <w:pStyle w:val="ListParagraph"/>
              <w:numPr>
                <w:ilvl w:val="0"/>
                <w:numId w:val="18"/>
              </w:numPr>
              <w:rPr>
                <w:rFonts w:cstheme="minorHAnsi"/>
                <w:sz w:val="20"/>
                <w:szCs w:val="20"/>
              </w:rPr>
            </w:pPr>
            <w:r w:rsidRPr="00F47DAD">
              <w:rPr>
                <w:rFonts w:cstheme="minorHAnsi"/>
                <w:sz w:val="20"/>
                <w:szCs w:val="20"/>
              </w:rPr>
              <w:t>Utilize a questionnaire for assessing risk of employee activities while away from facility. </w:t>
            </w:r>
          </w:p>
          <w:p w14:paraId="19AD2C2D" w14:textId="7D111CDA" w:rsidR="00F47DAD" w:rsidRPr="00F47DAD" w:rsidRDefault="0038223F" w:rsidP="00F47DAD">
            <w:pPr>
              <w:pStyle w:val="ListParagraph"/>
              <w:numPr>
                <w:ilvl w:val="0"/>
                <w:numId w:val="18"/>
              </w:numPr>
              <w:rPr>
                <w:rFonts w:cstheme="minorHAnsi"/>
                <w:b/>
                <w:bCs/>
                <w:sz w:val="20"/>
                <w:szCs w:val="20"/>
              </w:rPr>
            </w:pPr>
            <w:r w:rsidRPr="009F16FF">
              <w:rPr>
                <w:rFonts w:cstheme="minorHAnsi"/>
                <w:sz w:val="20"/>
                <w:szCs w:val="20"/>
              </w:rPr>
              <w:t xml:space="preserve">Utilize antibody testing (if or when available) </w:t>
            </w:r>
          </w:p>
          <w:p w14:paraId="5460E704" w14:textId="2D2C5169" w:rsidR="00934287" w:rsidRPr="00934287" w:rsidRDefault="0038223F" w:rsidP="00934287">
            <w:pPr>
              <w:pStyle w:val="ListParagraph"/>
              <w:numPr>
                <w:ilvl w:val="0"/>
                <w:numId w:val="18"/>
              </w:numPr>
              <w:rPr>
                <w:rFonts w:cstheme="minorHAnsi"/>
                <w:b/>
                <w:bCs/>
                <w:sz w:val="20"/>
                <w:szCs w:val="20"/>
              </w:rPr>
            </w:pPr>
            <w:r w:rsidRPr="009F16FF">
              <w:rPr>
                <w:rFonts w:cstheme="minorHAnsi"/>
                <w:sz w:val="20"/>
                <w:szCs w:val="20"/>
              </w:rPr>
              <w:t xml:space="preserve">Determine site visitor requirements </w:t>
            </w:r>
          </w:p>
          <w:p w14:paraId="746B074A" w14:textId="77777777" w:rsidR="00D47528" w:rsidRPr="005564B5" w:rsidRDefault="0038223F" w:rsidP="005564B5">
            <w:pPr>
              <w:pStyle w:val="ListParagraph"/>
              <w:numPr>
                <w:ilvl w:val="0"/>
                <w:numId w:val="18"/>
              </w:numPr>
              <w:rPr>
                <w:b/>
                <w:sz w:val="20"/>
              </w:rPr>
            </w:pPr>
            <w:r w:rsidRPr="009F16FF">
              <w:rPr>
                <w:rFonts w:cstheme="minorHAnsi"/>
                <w:sz w:val="20"/>
                <w:szCs w:val="20"/>
              </w:rPr>
              <w:t xml:space="preserve">Establish </w:t>
            </w:r>
            <w:hyperlink r:id="rId11" w:history="1">
              <w:r w:rsidRPr="00003C69">
                <w:rPr>
                  <w:rStyle w:val="Hyperlink"/>
                  <w:rFonts w:cstheme="minorHAnsi"/>
                  <w:b/>
                  <w:bCs/>
                  <w:sz w:val="20"/>
                  <w:szCs w:val="20"/>
                </w:rPr>
                <w:t>PPE requirements</w:t>
              </w:r>
            </w:hyperlink>
            <w:r w:rsidRPr="009F16FF">
              <w:rPr>
                <w:rFonts w:cstheme="minorHAnsi"/>
                <w:sz w:val="20"/>
                <w:szCs w:val="20"/>
              </w:rPr>
              <w:t xml:space="preserve"> for all employees and visitors; have necessary PPE available.</w:t>
            </w:r>
            <w:r w:rsidRPr="009F16FF">
              <w:rPr>
                <w:rFonts w:ascii="FS Me" w:hAnsi="FS Me"/>
                <w:sz w:val="20"/>
                <w:szCs w:val="20"/>
              </w:rPr>
              <w:t xml:space="preserve"> </w:t>
            </w:r>
          </w:p>
          <w:p w14:paraId="2E04CD27" w14:textId="6E5956FD" w:rsidR="005564B5" w:rsidRPr="005564B5" w:rsidRDefault="005564B5" w:rsidP="005564B5">
            <w:pPr>
              <w:pStyle w:val="ListParagraph"/>
              <w:rPr>
                <w:b/>
                <w:sz w:val="20"/>
              </w:rPr>
            </w:pPr>
          </w:p>
        </w:tc>
      </w:tr>
      <w:tr w:rsidR="0038223F" w14:paraId="19ABD8A3" w14:textId="77777777" w:rsidTr="008D5023">
        <w:trPr>
          <w:trHeight w:val="2060"/>
        </w:trPr>
        <w:tc>
          <w:tcPr>
            <w:tcW w:w="2269" w:type="dxa"/>
          </w:tcPr>
          <w:p w14:paraId="02A1BFBC" w14:textId="77777777" w:rsidR="0038223F" w:rsidRPr="008D5023" w:rsidRDefault="0038223F" w:rsidP="0038223F">
            <w:pPr>
              <w:jc w:val="center"/>
              <w:rPr>
                <w:b/>
                <w:sz w:val="20"/>
                <w:szCs w:val="20"/>
              </w:rPr>
            </w:pPr>
          </w:p>
          <w:p w14:paraId="2021A826" w14:textId="3EC4AE97" w:rsidR="0038223F" w:rsidRPr="008D5023" w:rsidRDefault="0038223F" w:rsidP="0038223F">
            <w:pPr>
              <w:rPr>
                <w:b/>
                <w:sz w:val="20"/>
                <w:szCs w:val="20"/>
              </w:rPr>
            </w:pPr>
            <w:r w:rsidRPr="008D5023">
              <w:rPr>
                <w:b/>
                <w:sz w:val="20"/>
                <w:szCs w:val="20"/>
              </w:rPr>
              <w:t>Manage population density to ensure proper social distancing</w:t>
            </w:r>
          </w:p>
        </w:tc>
        <w:tc>
          <w:tcPr>
            <w:tcW w:w="8891" w:type="dxa"/>
          </w:tcPr>
          <w:p w14:paraId="1A4555CF" w14:textId="77777777" w:rsidR="002C7061" w:rsidRPr="002C7061" w:rsidRDefault="0038223F" w:rsidP="002C7061">
            <w:pPr>
              <w:rPr>
                <w:b/>
                <w:bCs/>
                <w:sz w:val="20"/>
              </w:rPr>
            </w:pPr>
            <w:r>
              <w:rPr>
                <w:b/>
                <w:sz w:val="20"/>
              </w:rPr>
              <w:br/>
            </w:r>
            <w:r w:rsidR="002C7061" w:rsidRPr="002C7061">
              <w:rPr>
                <w:b/>
                <w:bCs/>
                <w:sz w:val="20"/>
              </w:rPr>
              <w:t>Limiting access to</w:t>
            </w:r>
            <w:r w:rsidR="002C7061" w:rsidRPr="002C7061">
              <w:rPr>
                <w:sz w:val="20"/>
              </w:rPr>
              <w:t xml:space="preserve"> </w:t>
            </w:r>
            <w:r w:rsidR="002C7061" w:rsidRPr="002C7061">
              <w:rPr>
                <w:b/>
                <w:bCs/>
                <w:sz w:val="20"/>
              </w:rPr>
              <w:t>onsite locations:</w:t>
            </w:r>
          </w:p>
          <w:p w14:paraId="70F9AD9A" w14:textId="739DDD54" w:rsidR="002C7061" w:rsidRPr="00441B8F" w:rsidRDefault="002C7061" w:rsidP="002C7061">
            <w:pPr>
              <w:pStyle w:val="ListParagraph"/>
              <w:numPr>
                <w:ilvl w:val="0"/>
                <w:numId w:val="22"/>
              </w:numPr>
              <w:rPr>
                <w:b/>
                <w:bCs/>
                <w:sz w:val="20"/>
              </w:rPr>
            </w:pPr>
            <w:r w:rsidRPr="002C7061">
              <w:rPr>
                <w:sz w:val="20"/>
              </w:rPr>
              <w:t xml:space="preserve">Establish </w:t>
            </w:r>
            <w:hyperlink r:id="rId12" w:history="1">
              <w:r w:rsidRPr="001A712B">
                <w:rPr>
                  <w:rStyle w:val="Hyperlink"/>
                  <w:b/>
                  <w:bCs/>
                  <w:sz w:val="20"/>
                </w:rPr>
                <w:t>room occupancy limits</w:t>
              </w:r>
            </w:hyperlink>
            <w:r w:rsidRPr="002C7061">
              <w:rPr>
                <w:sz w:val="20"/>
              </w:rPr>
              <w:t xml:space="preserve"> for bathrooms, breakroom, lunchroom and changing areas – restrict entry to 1-2 people at a time. </w:t>
            </w:r>
          </w:p>
          <w:p w14:paraId="0A40C652" w14:textId="77777777" w:rsidR="00441B8F" w:rsidRPr="002C7061" w:rsidRDefault="00441B8F" w:rsidP="00441B8F">
            <w:pPr>
              <w:pStyle w:val="ListParagraph"/>
              <w:rPr>
                <w:b/>
                <w:bCs/>
                <w:sz w:val="20"/>
              </w:rPr>
            </w:pPr>
          </w:p>
          <w:p w14:paraId="3585F11F" w14:textId="77777777" w:rsidR="002C7061" w:rsidRPr="002C7061" w:rsidRDefault="002C7061" w:rsidP="002C7061">
            <w:pPr>
              <w:rPr>
                <w:b/>
                <w:bCs/>
                <w:sz w:val="20"/>
              </w:rPr>
            </w:pPr>
            <w:r w:rsidRPr="002C7061">
              <w:rPr>
                <w:b/>
                <w:bCs/>
                <w:sz w:val="20"/>
              </w:rPr>
              <w:t xml:space="preserve">Limit in-person interaction </w:t>
            </w:r>
          </w:p>
          <w:p w14:paraId="6E7FF59F" w14:textId="77777777" w:rsidR="002C7061" w:rsidRPr="002C7061" w:rsidRDefault="002C7061" w:rsidP="002C7061">
            <w:pPr>
              <w:pStyle w:val="ListParagraph"/>
              <w:numPr>
                <w:ilvl w:val="0"/>
                <w:numId w:val="22"/>
              </w:numPr>
              <w:rPr>
                <w:b/>
                <w:bCs/>
                <w:sz w:val="20"/>
              </w:rPr>
            </w:pPr>
            <w:r w:rsidRPr="002C7061">
              <w:rPr>
                <w:sz w:val="20"/>
              </w:rPr>
              <w:t>Hold virtual meetings and training for employees</w:t>
            </w:r>
          </w:p>
          <w:p w14:paraId="3DFEB9EA" w14:textId="77777777" w:rsidR="002C7061" w:rsidRPr="002C7061" w:rsidRDefault="002C7061" w:rsidP="002C7061">
            <w:pPr>
              <w:pStyle w:val="ListParagraph"/>
              <w:numPr>
                <w:ilvl w:val="0"/>
                <w:numId w:val="22"/>
              </w:numPr>
              <w:rPr>
                <w:b/>
                <w:bCs/>
                <w:sz w:val="20"/>
              </w:rPr>
            </w:pPr>
            <w:r w:rsidRPr="002C7061">
              <w:rPr>
                <w:sz w:val="20"/>
              </w:rPr>
              <w:t xml:space="preserve">Make forms and other information available online </w:t>
            </w:r>
          </w:p>
          <w:p w14:paraId="32D24C87" w14:textId="77777777" w:rsidR="002C7061" w:rsidRPr="002C7061" w:rsidRDefault="002C7061" w:rsidP="002C7061">
            <w:pPr>
              <w:pStyle w:val="ListParagraph"/>
              <w:numPr>
                <w:ilvl w:val="0"/>
                <w:numId w:val="22"/>
              </w:numPr>
              <w:rPr>
                <w:sz w:val="20"/>
              </w:rPr>
            </w:pPr>
            <w:r w:rsidRPr="002C7061">
              <w:rPr>
                <w:sz w:val="20"/>
              </w:rPr>
              <w:t>Hold virtual customer meetings and facility tours</w:t>
            </w:r>
          </w:p>
          <w:p w14:paraId="463C7D9D" w14:textId="0811ED89" w:rsidR="0038223F" w:rsidRPr="002C7061" w:rsidRDefault="002C7061" w:rsidP="002C7061">
            <w:pPr>
              <w:pStyle w:val="ListParagraph"/>
              <w:numPr>
                <w:ilvl w:val="0"/>
                <w:numId w:val="22"/>
              </w:numPr>
              <w:rPr>
                <w:sz w:val="20"/>
              </w:rPr>
            </w:pPr>
            <w:r w:rsidRPr="002C7061">
              <w:rPr>
                <w:sz w:val="20"/>
              </w:rPr>
              <w:t>Establish virtual interview and onboarding processes</w:t>
            </w:r>
            <w:r w:rsidR="0038223F" w:rsidRPr="002C7061">
              <w:rPr>
                <w:sz w:val="20"/>
              </w:rPr>
              <w:br/>
            </w:r>
          </w:p>
        </w:tc>
      </w:tr>
    </w:tbl>
    <w:p w14:paraId="4E2CF738" w14:textId="2659C113" w:rsidR="000E1E00" w:rsidRDefault="000E1E00" w:rsidP="009A0169">
      <w:pPr>
        <w:jc w:val="center"/>
        <w:rPr>
          <w:b/>
          <w:bCs/>
        </w:rPr>
      </w:pPr>
    </w:p>
    <w:tbl>
      <w:tblPr>
        <w:tblStyle w:val="TableGrid"/>
        <w:tblW w:w="11160" w:type="dxa"/>
        <w:tblInd w:w="-905" w:type="dxa"/>
        <w:tblLook w:val="04A0" w:firstRow="1" w:lastRow="0" w:firstColumn="1" w:lastColumn="0" w:noHBand="0" w:noVBand="1"/>
      </w:tblPr>
      <w:tblGrid>
        <w:gridCol w:w="2250"/>
        <w:gridCol w:w="8910"/>
      </w:tblGrid>
      <w:tr w:rsidR="000A0D86" w:rsidRPr="00DC27E7" w14:paraId="56A3AD5D" w14:textId="77777777" w:rsidTr="00514C8A">
        <w:trPr>
          <w:trHeight w:val="539"/>
        </w:trPr>
        <w:tc>
          <w:tcPr>
            <w:tcW w:w="11160" w:type="dxa"/>
            <w:gridSpan w:val="2"/>
            <w:shd w:val="clear" w:color="auto" w:fill="2F5496" w:themeFill="accent1" w:themeFillShade="BF"/>
            <w:vAlign w:val="center"/>
          </w:tcPr>
          <w:p w14:paraId="6D970B91" w14:textId="38F4B239" w:rsidR="006A2950" w:rsidRPr="00514C8A" w:rsidRDefault="006A2950" w:rsidP="00514C8A">
            <w:pPr>
              <w:rPr>
                <w:rFonts w:ascii="FS Me" w:hAnsi="FS Me"/>
                <w:b/>
                <w:bCs/>
                <w:color w:val="FFFFFF" w:themeColor="background1"/>
              </w:rPr>
            </w:pPr>
            <w:r w:rsidRPr="006A2950">
              <w:rPr>
                <w:rFonts w:ascii="FS Me" w:hAnsi="FS Me"/>
                <w:b/>
                <w:bCs/>
                <w:color w:val="FFFFFF" w:themeColor="background1"/>
              </w:rPr>
              <w:t>Core Consideration #2: Workspace Safety Measures</w:t>
            </w:r>
          </w:p>
        </w:tc>
      </w:tr>
      <w:tr w:rsidR="0009688A" w:rsidRPr="00DC27E7" w14:paraId="08D2FEF4" w14:textId="77777777" w:rsidTr="00C27035">
        <w:trPr>
          <w:trHeight w:val="350"/>
        </w:trPr>
        <w:tc>
          <w:tcPr>
            <w:tcW w:w="2250" w:type="dxa"/>
            <w:vAlign w:val="center"/>
          </w:tcPr>
          <w:p w14:paraId="4AA21591" w14:textId="57E659D2" w:rsidR="0009688A" w:rsidRPr="008D5023" w:rsidRDefault="00BE60A9" w:rsidP="00514C8A">
            <w:pPr>
              <w:rPr>
                <w:b/>
                <w:sz w:val="20"/>
                <w:szCs w:val="20"/>
              </w:rPr>
            </w:pPr>
            <w:r w:rsidRPr="008D5023">
              <w:rPr>
                <w:b/>
                <w:sz w:val="20"/>
                <w:szCs w:val="20"/>
              </w:rPr>
              <w:t>Goal</w:t>
            </w:r>
          </w:p>
        </w:tc>
        <w:tc>
          <w:tcPr>
            <w:tcW w:w="8910" w:type="dxa"/>
            <w:vAlign w:val="center"/>
          </w:tcPr>
          <w:p w14:paraId="4722458D" w14:textId="6D91F82B" w:rsidR="0009688A" w:rsidRPr="008D5023" w:rsidRDefault="00DC27E7" w:rsidP="00514C8A">
            <w:pPr>
              <w:rPr>
                <w:b/>
                <w:sz w:val="20"/>
                <w:szCs w:val="20"/>
              </w:rPr>
            </w:pPr>
            <w:r w:rsidRPr="008D5023">
              <w:rPr>
                <w:b/>
                <w:sz w:val="20"/>
                <w:szCs w:val="20"/>
              </w:rPr>
              <w:t xml:space="preserve">Solution + </w:t>
            </w:r>
            <w:r w:rsidR="00BE60A9" w:rsidRPr="008D5023">
              <w:rPr>
                <w:b/>
                <w:sz w:val="20"/>
                <w:szCs w:val="20"/>
              </w:rPr>
              <w:t>Action</w:t>
            </w:r>
          </w:p>
        </w:tc>
      </w:tr>
      <w:tr w:rsidR="0009688A" w14:paraId="53BE246D" w14:textId="77777777" w:rsidTr="00514C8A">
        <w:tc>
          <w:tcPr>
            <w:tcW w:w="2250" w:type="dxa"/>
          </w:tcPr>
          <w:p w14:paraId="5CAA21EB" w14:textId="77777777" w:rsidR="006E5475" w:rsidRPr="008D5023" w:rsidRDefault="006E5475" w:rsidP="00514C8A">
            <w:pPr>
              <w:rPr>
                <w:b/>
                <w:sz w:val="20"/>
                <w:szCs w:val="20"/>
              </w:rPr>
            </w:pPr>
          </w:p>
          <w:p w14:paraId="6470F95B" w14:textId="0818F6BB" w:rsidR="0009688A" w:rsidRPr="008D5023" w:rsidRDefault="00506396" w:rsidP="00514C8A">
            <w:pPr>
              <w:rPr>
                <w:b/>
                <w:sz w:val="20"/>
                <w:szCs w:val="20"/>
              </w:rPr>
            </w:pPr>
            <w:r w:rsidRPr="008D5023">
              <w:rPr>
                <w:b/>
                <w:sz w:val="20"/>
                <w:szCs w:val="20"/>
              </w:rPr>
              <w:t>Cleaning and Disinfectant</w:t>
            </w:r>
            <w:r w:rsidR="00FE65F1" w:rsidRPr="008D5023">
              <w:rPr>
                <w:b/>
                <w:sz w:val="20"/>
                <w:szCs w:val="20"/>
              </w:rPr>
              <w:t xml:space="preserve"> </w:t>
            </w:r>
            <w:r w:rsidRPr="008D5023">
              <w:rPr>
                <w:b/>
                <w:sz w:val="20"/>
                <w:szCs w:val="20"/>
              </w:rPr>
              <w:t>M</w:t>
            </w:r>
            <w:r w:rsidR="00FE65F1" w:rsidRPr="008D5023">
              <w:rPr>
                <w:b/>
                <w:sz w:val="20"/>
                <w:szCs w:val="20"/>
              </w:rPr>
              <w:t>easures</w:t>
            </w:r>
          </w:p>
          <w:p w14:paraId="218B8A1E" w14:textId="2ED60B01" w:rsidR="00FE65F1" w:rsidRPr="00857D1D" w:rsidRDefault="00FE65F1" w:rsidP="00514C8A">
            <w:pPr>
              <w:rPr>
                <w:b/>
                <w:bCs/>
                <w:sz w:val="20"/>
                <w:szCs w:val="20"/>
              </w:rPr>
            </w:pPr>
          </w:p>
        </w:tc>
        <w:tc>
          <w:tcPr>
            <w:tcW w:w="8910" w:type="dxa"/>
          </w:tcPr>
          <w:p w14:paraId="5A11087D" w14:textId="77777777" w:rsidR="00D14F9C" w:rsidRDefault="00D14F9C" w:rsidP="00D14F9C">
            <w:pPr>
              <w:rPr>
                <w:b/>
                <w:bCs/>
                <w:sz w:val="20"/>
                <w:szCs w:val="20"/>
              </w:rPr>
            </w:pPr>
          </w:p>
          <w:p w14:paraId="7A0B12FC" w14:textId="2ABAC47F" w:rsidR="00D14F9C" w:rsidRPr="00D14F9C" w:rsidRDefault="00D14F9C" w:rsidP="00D14F9C">
            <w:pPr>
              <w:rPr>
                <w:b/>
                <w:bCs/>
                <w:sz w:val="20"/>
                <w:szCs w:val="20"/>
              </w:rPr>
            </w:pPr>
            <w:r w:rsidRPr="00D14F9C">
              <w:rPr>
                <w:b/>
                <w:bCs/>
                <w:sz w:val="20"/>
                <w:szCs w:val="20"/>
              </w:rPr>
              <w:t xml:space="preserve">Facility and workspace cleaning: </w:t>
            </w:r>
          </w:p>
          <w:p w14:paraId="15E4468F" w14:textId="77777777" w:rsidR="00D14F9C" w:rsidRPr="00D14F9C" w:rsidRDefault="00D14F9C" w:rsidP="00D14F9C">
            <w:pPr>
              <w:numPr>
                <w:ilvl w:val="0"/>
                <w:numId w:val="23"/>
              </w:numPr>
              <w:rPr>
                <w:sz w:val="20"/>
                <w:szCs w:val="20"/>
              </w:rPr>
            </w:pPr>
            <w:r w:rsidRPr="00D14F9C">
              <w:rPr>
                <w:sz w:val="20"/>
                <w:szCs w:val="20"/>
              </w:rPr>
              <w:t>Acquire additional stock of cleaning supplies</w:t>
            </w:r>
          </w:p>
          <w:p w14:paraId="1E675292" w14:textId="77777777" w:rsidR="0001770D" w:rsidRDefault="00D14F9C" w:rsidP="00D14F9C">
            <w:pPr>
              <w:pStyle w:val="ListParagraph"/>
              <w:numPr>
                <w:ilvl w:val="0"/>
                <w:numId w:val="23"/>
              </w:numPr>
              <w:rPr>
                <w:sz w:val="20"/>
                <w:szCs w:val="20"/>
              </w:rPr>
            </w:pPr>
            <w:r w:rsidRPr="00D14F9C">
              <w:rPr>
                <w:sz w:val="20"/>
                <w:szCs w:val="20"/>
              </w:rPr>
              <w:t>Hire external cleaning services</w:t>
            </w:r>
          </w:p>
          <w:p w14:paraId="013E7293" w14:textId="6A2EBF21" w:rsidR="00D14F9C" w:rsidRPr="00D14F9C" w:rsidRDefault="00D14F9C" w:rsidP="00D14F9C">
            <w:pPr>
              <w:pStyle w:val="ListParagraph"/>
              <w:rPr>
                <w:sz w:val="20"/>
                <w:szCs w:val="20"/>
              </w:rPr>
            </w:pPr>
          </w:p>
        </w:tc>
      </w:tr>
      <w:tr w:rsidR="0009688A" w14:paraId="6514A6FD" w14:textId="77777777" w:rsidTr="00514C8A">
        <w:tc>
          <w:tcPr>
            <w:tcW w:w="2250" w:type="dxa"/>
          </w:tcPr>
          <w:p w14:paraId="411E24C7" w14:textId="77777777" w:rsidR="00AA331B" w:rsidRPr="008D5023" w:rsidRDefault="00AA331B" w:rsidP="00514C8A">
            <w:pPr>
              <w:rPr>
                <w:b/>
                <w:sz w:val="20"/>
                <w:szCs w:val="20"/>
              </w:rPr>
            </w:pPr>
          </w:p>
          <w:p w14:paraId="40885E30" w14:textId="7FB1366C" w:rsidR="0009688A" w:rsidRPr="008D5023" w:rsidRDefault="006E5475" w:rsidP="00514C8A">
            <w:pPr>
              <w:rPr>
                <w:b/>
                <w:sz w:val="20"/>
                <w:szCs w:val="20"/>
              </w:rPr>
            </w:pPr>
            <w:r w:rsidRPr="008D5023">
              <w:rPr>
                <w:b/>
                <w:sz w:val="20"/>
                <w:szCs w:val="20"/>
              </w:rPr>
              <w:t xml:space="preserve">Physical workspace modifications </w:t>
            </w:r>
          </w:p>
        </w:tc>
        <w:tc>
          <w:tcPr>
            <w:tcW w:w="8910" w:type="dxa"/>
          </w:tcPr>
          <w:p w14:paraId="545965CE" w14:textId="77777777" w:rsidR="00DF41ED" w:rsidRDefault="00DF41ED" w:rsidP="00DF41ED">
            <w:pPr>
              <w:rPr>
                <w:sz w:val="20"/>
                <w:szCs w:val="20"/>
              </w:rPr>
            </w:pPr>
          </w:p>
          <w:p w14:paraId="12448D68" w14:textId="77777777" w:rsidR="00DF41ED" w:rsidRPr="00DF41ED" w:rsidRDefault="00DF41ED" w:rsidP="00DF41ED">
            <w:pPr>
              <w:rPr>
                <w:b/>
                <w:bCs/>
                <w:sz w:val="20"/>
                <w:szCs w:val="20"/>
              </w:rPr>
            </w:pPr>
            <w:r w:rsidRPr="00DF41ED">
              <w:rPr>
                <w:b/>
                <w:bCs/>
                <w:sz w:val="20"/>
                <w:szCs w:val="20"/>
              </w:rPr>
              <w:t xml:space="preserve">Office structures: </w:t>
            </w:r>
          </w:p>
          <w:p w14:paraId="6AF18E78" w14:textId="77777777" w:rsidR="00DF41ED" w:rsidRPr="00DF41ED" w:rsidRDefault="00DF41ED" w:rsidP="00DF41ED">
            <w:pPr>
              <w:pStyle w:val="ListParagraph"/>
              <w:numPr>
                <w:ilvl w:val="0"/>
                <w:numId w:val="28"/>
              </w:numPr>
              <w:rPr>
                <w:sz w:val="20"/>
                <w:szCs w:val="20"/>
              </w:rPr>
            </w:pPr>
            <w:r w:rsidRPr="00DF41ED">
              <w:rPr>
                <w:sz w:val="20"/>
                <w:szCs w:val="20"/>
              </w:rPr>
              <w:t xml:space="preserve">Modify open work areas and cubicle spaces to ensure social distancing requirements  </w:t>
            </w:r>
          </w:p>
          <w:p w14:paraId="4FF37A91" w14:textId="77777777" w:rsidR="00DF41ED" w:rsidRPr="00DF41ED" w:rsidRDefault="00DF41ED" w:rsidP="00DF41ED">
            <w:pPr>
              <w:pStyle w:val="ListParagraph"/>
              <w:numPr>
                <w:ilvl w:val="0"/>
                <w:numId w:val="28"/>
              </w:numPr>
              <w:rPr>
                <w:sz w:val="20"/>
                <w:szCs w:val="20"/>
              </w:rPr>
            </w:pPr>
            <w:r w:rsidRPr="00DF41ED">
              <w:rPr>
                <w:sz w:val="20"/>
                <w:szCs w:val="20"/>
              </w:rPr>
              <w:t>Further considerations may be necessary for non-chemical operations areas (administrative offices, labs, common areas such as breakroom)</w:t>
            </w:r>
          </w:p>
          <w:p w14:paraId="4AB1F8F2" w14:textId="77777777" w:rsidR="00DF41ED" w:rsidRPr="00DF41ED" w:rsidRDefault="00DF41ED" w:rsidP="00DF41ED">
            <w:pPr>
              <w:pStyle w:val="ListParagraph"/>
              <w:numPr>
                <w:ilvl w:val="0"/>
                <w:numId w:val="27"/>
              </w:numPr>
              <w:rPr>
                <w:sz w:val="20"/>
                <w:szCs w:val="20"/>
              </w:rPr>
            </w:pPr>
            <w:r w:rsidRPr="00DF41ED">
              <w:rPr>
                <w:sz w:val="20"/>
                <w:szCs w:val="20"/>
              </w:rPr>
              <w:t>Installation of new directional signage</w:t>
            </w:r>
          </w:p>
          <w:p w14:paraId="1BA77750" w14:textId="77777777" w:rsidR="00DF41ED" w:rsidRDefault="00DF41ED" w:rsidP="00DF41ED">
            <w:pPr>
              <w:rPr>
                <w:b/>
                <w:bCs/>
                <w:sz w:val="20"/>
                <w:szCs w:val="20"/>
              </w:rPr>
            </w:pPr>
          </w:p>
          <w:p w14:paraId="28A847D0" w14:textId="2AD72B5E" w:rsidR="00DF41ED" w:rsidRPr="00DF41ED" w:rsidRDefault="00DF41ED" w:rsidP="00DF41ED">
            <w:pPr>
              <w:rPr>
                <w:sz w:val="20"/>
                <w:szCs w:val="20"/>
              </w:rPr>
            </w:pPr>
            <w:r w:rsidRPr="00DF41ED">
              <w:rPr>
                <w:b/>
                <w:bCs/>
                <w:sz w:val="20"/>
                <w:szCs w:val="20"/>
              </w:rPr>
              <w:t xml:space="preserve">Engineering Controls: </w:t>
            </w:r>
          </w:p>
          <w:p w14:paraId="4A922EA7" w14:textId="5AD7BF9E" w:rsidR="006E5475" w:rsidRPr="00DF41ED" w:rsidRDefault="00DF41ED" w:rsidP="00DF41ED">
            <w:pPr>
              <w:pStyle w:val="ListParagraph"/>
              <w:numPr>
                <w:ilvl w:val="0"/>
                <w:numId w:val="24"/>
              </w:numPr>
              <w:rPr>
                <w:sz w:val="20"/>
                <w:szCs w:val="20"/>
              </w:rPr>
            </w:pPr>
            <w:r w:rsidRPr="00DF41ED">
              <w:rPr>
                <w:sz w:val="20"/>
                <w:szCs w:val="20"/>
              </w:rPr>
              <w:t>Optimize HVAC systems for optimal air filtration and makeup</w:t>
            </w:r>
            <w:r w:rsidR="00C903C2" w:rsidRPr="00DF41ED">
              <w:rPr>
                <w:sz w:val="20"/>
                <w:szCs w:val="20"/>
              </w:rPr>
              <w:br/>
            </w:r>
          </w:p>
        </w:tc>
      </w:tr>
      <w:tr w:rsidR="0009688A" w14:paraId="5FE4A8BF" w14:textId="77777777" w:rsidTr="00514C8A">
        <w:tc>
          <w:tcPr>
            <w:tcW w:w="2250" w:type="dxa"/>
          </w:tcPr>
          <w:p w14:paraId="64572E72" w14:textId="41FA217E" w:rsidR="0009688A" w:rsidRPr="008D5023" w:rsidRDefault="00EA5633" w:rsidP="00514C8A">
            <w:pPr>
              <w:rPr>
                <w:b/>
                <w:sz w:val="20"/>
                <w:szCs w:val="20"/>
              </w:rPr>
            </w:pPr>
            <w:r w:rsidRPr="00857D1D">
              <w:rPr>
                <w:b/>
                <w:sz w:val="20"/>
                <w:szCs w:val="20"/>
              </w:rPr>
              <w:br/>
            </w:r>
            <w:r w:rsidR="00206628" w:rsidRPr="008D5023">
              <w:rPr>
                <w:b/>
                <w:sz w:val="20"/>
                <w:szCs w:val="20"/>
              </w:rPr>
              <w:t>Human Flow Patterns</w:t>
            </w:r>
          </w:p>
        </w:tc>
        <w:tc>
          <w:tcPr>
            <w:tcW w:w="8910" w:type="dxa"/>
          </w:tcPr>
          <w:p w14:paraId="38ED847B" w14:textId="77777777" w:rsidR="0014787F" w:rsidRDefault="0014787F" w:rsidP="0014787F">
            <w:pPr>
              <w:rPr>
                <w:b/>
                <w:sz w:val="20"/>
                <w:szCs w:val="20"/>
              </w:rPr>
            </w:pPr>
          </w:p>
          <w:p w14:paraId="51194C13" w14:textId="24A0691F" w:rsidR="0014787F" w:rsidRPr="0014787F" w:rsidRDefault="0014787F" w:rsidP="0014787F">
            <w:pPr>
              <w:pStyle w:val="ListParagraph"/>
              <w:numPr>
                <w:ilvl w:val="0"/>
                <w:numId w:val="24"/>
              </w:numPr>
              <w:rPr>
                <w:bCs/>
                <w:sz w:val="20"/>
                <w:szCs w:val="20"/>
              </w:rPr>
            </w:pPr>
            <w:r w:rsidRPr="0014787F">
              <w:rPr>
                <w:bCs/>
                <w:sz w:val="20"/>
                <w:szCs w:val="20"/>
              </w:rPr>
              <w:t>Install signage to ensure employees understand and follow flow patterns</w:t>
            </w:r>
          </w:p>
          <w:p w14:paraId="48723602" w14:textId="52885F4D" w:rsidR="0009688A" w:rsidRPr="0014787F" w:rsidRDefault="0014787F" w:rsidP="0014787F">
            <w:pPr>
              <w:pStyle w:val="ListParagraph"/>
              <w:numPr>
                <w:ilvl w:val="0"/>
                <w:numId w:val="24"/>
              </w:numPr>
              <w:rPr>
                <w:bCs/>
                <w:sz w:val="20"/>
                <w:szCs w:val="20"/>
              </w:rPr>
            </w:pPr>
            <w:r w:rsidRPr="0014787F">
              <w:rPr>
                <w:bCs/>
                <w:sz w:val="20"/>
                <w:szCs w:val="20"/>
              </w:rPr>
              <w:t>Marking on the floor to demonstrate 6-foot social distance requirements</w:t>
            </w:r>
          </w:p>
          <w:p w14:paraId="7F9DB2E3" w14:textId="3F3752D9" w:rsidR="00EA5633" w:rsidRPr="00857D1D" w:rsidRDefault="00EA5633" w:rsidP="00EA5633">
            <w:pPr>
              <w:rPr>
                <w:b/>
                <w:bCs/>
                <w:sz w:val="20"/>
                <w:szCs w:val="20"/>
              </w:rPr>
            </w:pPr>
          </w:p>
        </w:tc>
      </w:tr>
    </w:tbl>
    <w:p w14:paraId="761A3B00" w14:textId="413FBECF" w:rsidR="0009688A" w:rsidRDefault="0009688A" w:rsidP="00206628">
      <w:pPr>
        <w:rPr>
          <w:b/>
          <w:bCs/>
        </w:rPr>
      </w:pPr>
    </w:p>
    <w:tbl>
      <w:tblPr>
        <w:tblStyle w:val="TableGrid"/>
        <w:tblW w:w="11160" w:type="dxa"/>
        <w:tblInd w:w="-905" w:type="dxa"/>
        <w:tblLook w:val="04A0" w:firstRow="1" w:lastRow="0" w:firstColumn="1" w:lastColumn="0" w:noHBand="0" w:noVBand="1"/>
      </w:tblPr>
      <w:tblGrid>
        <w:gridCol w:w="2250"/>
        <w:gridCol w:w="8910"/>
      </w:tblGrid>
      <w:tr w:rsidR="000A0D86" w14:paraId="15373379" w14:textId="77777777" w:rsidTr="002608B5">
        <w:trPr>
          <w:trHeight w:val="494"/>
        </w:trPr>
        <w:tc>
          <w:tcPr>
            <w:tcW w:w="11160" w:type="dxa"/>
            <w:gridSpan w:val="2"/>
            <w:shd w:val="clear" w:color="auto" w:fill="2F5496" w:themeFill="accent1" w:themeFillShade="BF"/>
            <w:vAlign w:val="center"/>
          </w:tcPr>
          <w:p w14:paraId="7CE5C157" w14:textId="49624635" w:rsidR="005C7EFC" w:rsidRPr="00C903C2" w:rsidRDefault="002608B5" w:rsidP="002608B5">
            <w:pPr>
              <w:rPr>
                <w:rFonts w:ascii="FS Me" w:hAnsi="FS Me"/>
                <w:b/>
                <w:bCs/>
                <w:color w:val="FFFFFF" w:themeColor="background1"/>
              </w:rPr>
            </w:pPr>
            <w:r w:rsidRPr="00C903C2">
              <w:rPr>
                <w:rFonts w:ascii="FS Me" w:hAnsi="FS Me"/>
                <w:b/>
                <w:bCs/>
                <w:color w:val="FFFFFF" w:themeColor="background1"/>
              </w:rPr>
              <w:t>Core Consideration #3: Long-Term Impacts</w:t>
            </w:r>
          </w:p>
        </w:tc>
      </w:tr>
      <w:tr w:rsidR="00BD5BF4" w14:paraId="7604E51A" w14:textId="77777777" w:rsidTr="002608B5">
        <w:trPr>
          <w:trHeight w:val="404"/>
        </w:trPr>
        <w:tc>
          <w:tcPr>
            <w:tcW w:w="2250" w:type="dxa"/>
            <w:vAlign w:val="center"/>
          </w:tcPr>
          <w:p w14:paraId="3B7487BB" w14:textId="52A4BC0B" w:rsidR="00BD5BF4" w:rsidRPr="008D5023" w:rsidRDefault="00BE60A9" w:rsidP="002608B5">
            <w:pPr>
              <w:rPr>
                <w:b/>
                <w:sz w:val="20"/>
                <w:szCs w:val="20"/>
              </w:rPr>
            </w:pPr>
            <w:r w:rsidRPr="008D5023">
              <w:rPr>
                <w:b/>
                <w:sz w:val="20"/>
                <w:szCs w:val="20"/>
              </w:rPr>
              <w:t xml:space="preserve">Goal </w:t>
            </w:r>
          </w:p>
        </w:tc>
        <w:tc>
          <w:tcPr>
            <w:tcW w:w="8910" w:type="dxa"/>
            <w:vAlign w:val="center"/>
          </w:tcPr>
          <w:p w14:paraId="0087D50C" w14:textId="55CA4B6F" w:rsidR="00BD5BF4" w:rsidRPr="008D5023" w:rsidRDefault="00355DAF" w:rsidP="002608B5">
            <w:pPr>
              <w:rPr>
                <w:b/>
                <w:sz w:val="20"/>
                <w:szCs w:val="20"/>
              </w:rPr>
            </w:pPr>
            <w:r w:rsidRPr="008D5023">
              <w:rPr>
                <w:b/>
                <w:sz w:val="20"/>
                <w:szCs w:val="20"/>
              </w:rPr>
              <w:t xml:space="preserve">Solution + </w:t>
            </w:r>
            <w:r w:rsidR="00BE60A9" w:rsidRPr="008D5023">
              <w:rPr>
                <w:b/>
                <w:sz w:val="20"/>
                <w:szCs w:val="20"/>
              </w:rPr>
              <w:t xml:space="preserve">Action </w:t>
            </w:r>
          </w:p>
        </w:tc>
      </w:tr>
      <w:tr w:rsidR="00BD5BF4" w14:paraId="0A0A374C" w14:textId="77777777" w:rsidTr="002608B5">
        <w:tc>
          <w:tcPr>
            <w:tcW w:w="2250" w:type="dxa"/>
          </w:tcPr>
          <w:p w14:paraId="34D61C0B" w14:textId="287BC79F" w:rsidR="00BD5BF4" w:rsidRPr="008D5023" w:rsidRDefault="00C903C2" w:rsidP="002608B5">
            <w:pPr>
              <w:rPr>
                <w:b/>
                <w:sz w:val="20"/>
                <w:szCs w:val="20"/>
              </w:rPr>
            </w:pPr>
            <w:r>
              <w:rPr>
                <w:b/>
                <w:sz w:val="20"/>
                <w:szCs w:val="20"/>
              </w:rPr>
              <w:br/>
            </w:r>
            <w:r w:rsidR="00206628" w:rsidRPr="008D5023">
              <w:rPr>
                <w:b/>
                <w:sz w:val="20"/>
                <w:szCs w:val="20"/>
              </w:rPr>
              <w:t>Communic</w:t>
            </w:r>
            <w:r w:rsidR="00930883" w:rsidRPr="008D5023">
              <w:rPr>
                <w:b/>
                <w:sz w:val="20"/>
                <w:szCs w:val="20"/>
              </w:rPr>
              <w:t>ate, Educate, Protect</w:t>
            </w:r>
          </w:p>
        </w:tc>
        <w:tc>
          <w:tcPr>
            <w:tcW w:w="8910" w:type="dxa"/>
          </w:tcPr>
          <w:p w14:paraId="42084F47" w14:textId="77777777" w:rsidR="002B48F2" w:rsidRDefault="002B48F2" w:rsidP="002B48F2">
            <w:pPr>
              <w:pStyle w:val="ListParagraph"/>
              <w:rPr>
                <w:bCs/>
                <w:sz w:val="20"/>
                <w:szCs w:val="20"/>
              </w:rPr>
            </w:pPr>
          </w:p>
          <w:p w14:paraId="30C25B75" w14:textId="3C19BA2E" w:rsidR="008378A9" w:rsidRPr="002B48F2" w:rsidRDefault="008378A9" w:rsidP="002B48F2">
            <w:pPr>
              <w:pStyle w:val="ListParagraph"/>
              <w:numPr>
                <w:ilvl w:val="0"/>
                <w:numId w:val="29"/>
              </w:numPr>
              <w:rPr>
                <w:bCs/>
                <w:sz w:val="20"/>
                <w:szCs w:val="20"/>
              </w:rPr>
            </w:pPr>
            <w:r w:rsidRPr="002B48F2">
              <w:rPr>
                <w:bCs/>
                <w:sz w:val="20"/>
                <w:szCs w:val="20"/>
              </w:rPr>
              <w:t>Maintain transparent communication with all employees</w:t>
            </w:r>
          </w:p>
          <w:p w14:paraId="2B3B51CD" w14:textId="5EFEDF07" w:rsidR="008378A9" w:rsidRPr="002B48F2" w:rsidRDefault="008378A9" w:rsidP="002B48F2">
            <w:pPr>
              <w:pStyle w:val="ListParagraph"/>
              <w:numPr>
                <w:ilvl w:val="0"/>
                <w:numId w:val="29"/>
              </w:numPr>
              <w:rPr>
                <w:bCs/>
                <w:sz w:val="20"/>
                <w:szCs w:val="20"/>
              </w:rPr>
            </w:pPr>
            <w:r w:rsidRPr="002B48F2">
              <w:rPr>
                <w:bCs/>
                <w:sz w:val="20"/>
                <w:szCs w:val="20"/>
              </w:rPr>
              <w:t xml:space="preserve">Educate employees on </w:t>
            </w:r>
            <w:hyperlink r:id="rId13" w:history="1">
              <w:r w:rsidRPr="002B073F">
                <w:rPr>
                  <w:rStyle w:val="Hyperlink"/>
                  <w:b/>
                  <w:sz w:val="20"/>
                  <w:szCs w:val="20"/>
                </w:rPr>
                <w:t>COVID-19 changes</w:t>
              </w:r>
            </w:hyperlink>
            <w:r w:rsidRPr="002B48F2">
              <w:rPr>
                <w:bCs/>
                <w:sz w:val="20"/>
                <w:szCs w:val="20"/>
              </w:rPr>
              <w:t>, rules and regulations</w:t>
            </w:r>
          </w:p>
          <w:p w14:paraId="1DBDE517" w14:textId="77777777" w:rsidR="008378A9" w:rsidRPr="002B48F2" w:rsidRDefault="008378A9" w:rsidP="002B48F2">
            <w:pPr>
              <w:pStyle w:val="ListParagraph"/>
              <w:numPr>
                <w:ilvl w:val="0"/>
                <w:numId w:val="29"/>
              </w:numPr>
              <w:rPr>
                <w:bCs/>
                <w:sz w:val="20"/>
                <w:szCs w:val="20"/>
              </w:rPr>
            </w:pPr>
            <w:r w:rsidRPr="002B48F2">
              <w:rPr>
                <w:bCs/>
                <w:sz w:val="20"/>
                <w:szCs w:val="20"/>
              </w:rPr>
              <w:t>Develop a long-term system of tracking PPE inventory</w:t>
            </w:r>
          </w:p>
          <w:p w14:paraId="4107265F" w14:textId="0DA28CAB" w:rsidR="002608B5" w:rsidRDefault="008378A9" w:rsidP="002B48F2">
            <w:pPr>
              <w:pStyle w:val="ListParagraph"/>
              <w:numPr>
                <w:ilvl w:val="0"/>
                <w:numId w:val="29"/>
              </w:numPr>
              <w:rPr>
                <w:bCs/>
                <w:sz w:val="20"/>
                <w:szCs w:val="20"/>
              </w:rPr>
            </w:pPr>
            <w:r w:rsidRPr="002B48F2">
              <w:rPr>
                <w:bCs/>
                <w:sz w:val="20"/>
                <w:szCs w:val="20"/>
              </w:rPr>
              <w:t>Maintain an active EAP program for employees to address long-term issues associated with COVID-19</w:t>
            </w:r>
          </w:p>
          <w:p w14:paraId="2FFB3225" w14:textId="3ACC2CF7" w:rsidR="00CB7A59" w:rsidRDefault="00CB7A59" w:rsidP="002B48F2">
            <w:pPr>
              <w:pStyle w:val="ListParagraph"/>
              <w:numPr>
                <w:ilvl w:val="0"/>
                <w:numId w:val="29"/>
              </w:numPr>
              <w:rPr>
                <w:bCs/>
                <w:sz w:val="20"/>
                <w:szCs w:val="20"/>
              </w:rPr>
            </w:pPr>
            <w:r w:rsidRPr="00CB7A59">
              <w:rPr>
                <w:bCs/>
                <w:sz w:val="20"/>
                <w:szCs w:val="20"/>
              </w:rPr>
              <w:t>Remind employees that virus mitigation starts and ends at home and within their family circles. </w:t>
            </w:r>
          </w:p>
          <w:p w14:paraId="14FEB248" w14:textId="1F19EF89" w:rsidR="004C536C" w:rsidRPr="002B48F2" w:rsidRDefault="004C536C" w:rsidP="000A4D8C">
            <w:pPr>
              <w:pStyle w:val="ListParagraph"/>
              <w:rPr>
                <w:bCs/>
                <w:sz w:val="20"/>
                <w:szCs w:val="20"/>
              </w:rPr>
            </w:pPr>
          </w:p>
        </w:tc>
      </w:tr>
      <w:tr w:rsidR="00BD5BF4" w14:paraId="0068B11D" w14:textId="77777777" w:rsidTr="002608B5">
        <w:trPr>
          <w:trHeight w:val="701"/>
        </w:trPr>
        <w:tc>
          <w:tcPr>
            <w:tcW w:w="2250" w:type="dxa"/>
          </w:tcPr>
          <w:p w14:paraId="4720AC27" w14:textId="11A02316" w:rsidR="00BD5BF4" w:rsidRPr="008D5023" w:rsidRDefault="00C903C2" w:rsidP="002608B5">
            <w:pPr>
              <w:rPr>
                <w:b/>
                <w:sz w:val="20"/>
                <w:szCs w:val="20"/>
              </w:rPr>
            </w:pPr>
            <w:r>
              <w:rPr>
                <w:b/>
                <w:sz w:val="20"/>
                <w:szCs w:val="20"/>
              </w:rPr>
              <w:lastRenderedPageBreak/>
              <w:br/>
            </w:r>
            <w:r w:rsidR="00355DAF" w:rsidRPr="008D5023">
              <w:rPr>
                <w:b/>
                <w:sz w:val="20"/>
                <w:szCs w:val="20"/>
              </w:rPr>
              <w:t>Conferences and In-Person Meetings</w:t>
            </w:r>
          </w:p>
        </w:tc>
        <w:tc>
          <w:tcPr>
            <w:tcW w:w="8910" w:type="dxa"/>
          </w:tcPr>
          <w:p w14:paraId="24791E4D" w14:textId="77777777" w:rsidR="00FB5D5C" w:rsidRDefault="00FB5D5C" w:rsidP="00FB5D5C">
            <w:pPr>
              <w:pStyle w:val="ListParagraph"/>
              <w:rPr>
                <w:bCs/>
                <w:sz w:val="20"/>
                <w:szCs w:val="20"/>
              </w:rPr>
            </w:pPr>
          </w:p>
          <w:p w14:paraId="63874F88" w14:textId="004CFC56" w:rsidR="0092509D" w:rsidRPr="00FB5D5C" w:rsidRDefault="0092509D" w:rsidP="00FB5D5C">
            <w:pPr>
              <w:pStyle w:val="ListParagraph"/>
              <w:numPr>
                <w:ilvl w:val="0"/>
                <w:numId w:val="33"/>
              </w:numPr>
              <w:rPr>
                <w:bCs/>
                <w:sz w:val="20"/>
                <w:szCs w:val="20"/>
              </w:rPr>
            </w:pPr>
            <w:r w:rsidRPr="00FB5D5C">
              <w:rPr>
                <w:bCs/>
                <w:sz w:val="20"/>
                <w:szCs w:val="20"/>
              </w:rPr>
              <w:t>Adhere to domestic and international travel restrictions as well as internal company guidelines.</w:t>
            </w:r>
          </w:p>
          <w:p w14:paraId="590309F8" w14:textId="77777777" w:rsidR="0092509D" w:rsidRPr="00FB5D5C" w:rsidRDefault="0092509D" w:rsidP="00FB5D5C">
            <w:pPr>
              <w:pStyle w:val="ListParagraph"/>
              <w:numPr>
                <w:ilvl w:val="0"/>
                <w:numId w:val="33"/>
              </w:numPr>
              <w:rPr>
                <w:bCs/>
                <w:sz w:val="20"/>
                <w:szCs w:val="20"/>
              </w:rPr>
            </w:pPr>
            <w:r w:rsidRPr="00FB5D5C">
              <w:rPr>
                <w:bCs/>
                <w:sz w:val="20"/>
                <w:szCs w:val="20"/>
              </w:rPr>
              <w:t>Establish safety protocol for employees who are attending external events</w:t>
            </w:r>
          </w:p>
          <w:p w14:paraId="64A248B5" w14:textId="241B992A" w:rsidR="0092509D" w:rsidRPr="00FB5D5C" w:rsidRDefault="0092509D" w:rsidP="00FB5D5C">
            <w:pPr>
              <w:pStyle w:val="ListParagraph"/>
              <w:numPr>
                <w:ilvl w:val="0"/>
                <w:numId w:val="33"/>
              </w:numPr>
              <w:rPr>
                <w:bCs/>
                <w:sz w:val="20"/>
                <w:szCs w:val="20"/>
              </w:rPr>
            </w:pPr>
            <w:r w:rsidRPr="00FB5D5C">
              <w:rPr>
                <w:bCs/>
                <w:sz w:val="20"/>
                <w:szCs w:val="20"/>
              </w:rPr>
              <w:t xml:space="preserve">SOCMA’s </w:t>
            </w:r>
            <w:hyperlink r:id="rId14" w:history="1">
              <w:r w:rsidRPr="00704D27">
                <w:rPr>
                  <w:rStyle w:val="Hyperlink"/>
                  <w:b/>
                  <w:sz w:val="20"/>
                  <w:szCs w:val="20"/>
                </w:rPr>
                <w:t>Lead Sheet Program</w:t>
              </w:r>
            </w:hyperlink>
            <w:r w:rsidRPr="00FB5D5C">
              <w:rPr>
                <w:bCs/>
                <w:sz w:val="20"/>
                <w:szCs w:val="20"/>
              </w:rPr>
              <w:t xml:space="preserve"> and Capabilities Mapping Services offer solutions to the inability to currently meet safely face-to-face with customers and partners.  </w:t>
            </w:r>
          </w:p>
          <w:p w14:paraId="4B791D5F" w14:textId="5583B55D" w:rsidR="002608B5" w:rsidRPr="0092509D" w:rsidRDefault="002608B5" w:rsidP="0092509D">
            <w:pPr>
              <w:rPr>
                <w:bCs/>
                <w:sz w:val="20"/>
                <w:szCs w:val="20"/>
              </w:rPr>
            </w:pPr>
          </w:p>
        </w:tc>
      </w:tr>
      <w:tr w:rsidR="00FB5D5C" w14:paraId="7F6C019A" w14:textId="77777777" w:rsidTr="002120BC">
        <w:tc>
          <w:tcPr>
            <w:tcW w:w="2250" w:type="dxa"/>
          </w:tcPr>
          <w:p w14:paraId="0BF7D45F" w14:textId="74C965BC" w:rsidR="00FB5D5C" w:rsidRDefault="00623F2F" w:rsidP="00764B6B">
            <w:pPr>
              <w:rPr>
                <w:b/>
                <w:sz w:val="20"/>
                <w:szCs w:val="20"/>
              </w:rPr>
            </w:pPr>
            <w:r>
              <w:rPr>
                <w:b/>
                <w:sz w:val="20"/>
                <w:szCs w:val="20"/>
              </w:rPr>
              <w:t xml:space="preserve">Virtual Processes </w:t>
            </w:r>
          </w:p>
        </w:tc>
        <w:tc>
          <w:tcPr>
            <w:tcW w:w="8910" w:type="dxa"/>
          </w:tcPr>
          <w:p w14:paraId="301275B4" w14:textId="77777777" w:rsidR="00623F2F" w:rsidRPr="00623F2F" w:rsidRDefault="00623F2F" w:rsidP="00623F2F">
            <w:pPr>
              <w:rPr>
                <w:b/>
                <w:bCs/>
                <w:sz w:val="20"/>
                <w:szCs w:val="20"/>
              </w:rPr>
            </w:pPr>
            <w:r w:rsidRPr="00623F2F">
              <w:rPr>
                <w:b/>
                <w:bCs/>
                <w:sz w:val="20"/>
                <w:szCs w:val="20"/>
              </w:rPr>
              <w:t>Training + Onboarding of Current and New Employees</w:t>
            </w:r>
          </w:p>
          <w:p w14:paraId="4F3A4B50" w14:textId="289D078F" w:rsidR="00623F2F" w:rsidRPr="00623F2F" w:rsidRDefault="00623F2F" w:rsidP="00623F2F">
            <w:pPr>
              <w:pStyle w:val="ListParagraph"/>
              <w:numPr>
                <w:ilvl w:val="0"/>
                <w:numId w:val="35"/>
              </w:numPr>
              <w:rPr>
                <w:bCs/>
                <w:sz w:val="20"/>
                <w:szCs w:val="20"/>
              </w:rPr>
            </w:pPr>
            <w:r w:rsidRPr="00623F2F">
              <w:rPr>
                <w:bCs/>
                <w:sz w:val="20"/>
                <w:szCs w:val="20"/>
              </w:rPr>
              <w:t>Consider virtual training and onboarding of employees</w:t>
            </w:r>
            <w:r w:rsidR="0022463D">
              <w:rPr>
                <w:bCs/>
                <w:sz w:val="20"/>
                <w:szCs w:val="20"/>
              </w:rPr>
              <w:t>.</w:t>
            </w:r>
          </w:p>
          <w:p w14:paraId="61CB7B38" w14:textId="3455F1D8" w:rsidR="00FC4C22" w:rsidRDefault="00FC4C22" w:rsidP="00FC4C22">
            <w:pPr>
              <w:pStyle w:val="ListParagraph"/>
              <w:numPr>
                <w:ilvl w:val="0"/>
                <w:numId w:val="35"/>
              </w:numPr>
              <w:rPr>
                <w:bCs/>
                <w:sz w:val="20"/>
                <w:szCs w:val="20"/>
              </w:rPr>
            </w:pPr>
            <w:r w:rsidRPr="00FC4C22">
              <w:rPr>
                <w:bCs/>
                <w:sz w:val="20"/>
                <w:szCs w:val="20"/>
              </w:rPr>
              <w:t xml:space="preserve">SOCMA’s </w:t>
            </w:r>
            <w:hyperlink r:id="rId15" w:history="1">
              <w:r w:rsidRPr="00FC4C22">
                <w:rPr>
                  <w:rStyle w:val="Hyperlink"/>
                  <w:b/>
                  <w:sz w:val="20"/>
                  <w:szCs w:val="20"/>
                </w:rPr>
                <w:t>Chemical Operations Training Tool</w:t>
              </w:r>
            </w:hyperlink>
            <w:r w:rsidRPr="00FC4C22">
              <w:rPr>
                <w:bCs/>
                <w:sz w:val="20"/>
                <w:szCs w:val="20"/>
              </w:rPr>
              <w:t xml:space="preserve"> offers 24/7 access to ensure new and current employees receive training and education.  </w:t>
            </w:r>
          </w:p>
          <w:p w14:paraId="33A3788C" w14:textId="1C96A12F" w:rsidR="008073DB" w:rsidRPr="00FC4C22" w:rsidRDefault="008073DB" w:rsidP="00FC4C22">
            <w:pPr>
              <w:pStyle w:val="ListParagraph"/>
              <w:numPr>
                <w:ilvl w:val="0"/>
                <w:numId w:val="35"/>
              </w:numPr>
              <w:rPr>
                <w:bCs/>
                <w:sz w:val="20"/>
                <w:szCs w:val="20"/>
              </w:rPr>
            </w:pPr>
            <w:r>
              <w:rPr>
                <w:bCs/>
                <w:sz w:val="20"/>
                <w:szCs w:val="20"/>
              </w:rPr>
              <w:t xml:space="preserve">Implement </w:t>
            </w:r>
            <w:r w:rsidR="00473A1D">
              <w:rPr>
                <w:bCs/>
                <w:sz w:val="20"/>
                <w:szCs w:val="20"/>
              </w:rPr>
              <w:t xml:space="preserve">and accelerate </w:t>
            </w:r>
            <w:r>
              <w:rPr>
                <w:bCs/>
                <w:sz w:val="20"/>
                <w:szCs w:val="20"/>
              </w:rPr>
              <w:t xml:space="preserve">cross-training of employees to ensure coverage </w:t>
            </w:r>
            <w:r w:rsidR="00000A54">
              <w:rPr>
                <w:bCs/>
                <w:sz w:val="20"/>
                <w:szCs w:val="20"/>
              </w:rPr>
              <w:t>across</w:t>
            </w:r>
            <w:r>
              <w:rPr>
                <w:bCs/>
                <w:sz w:val="20"/>
                <w:szCs w:val="20"/>
              </w:rPr>
              <w:t xml:space="preserve"> all departments</w:t>
            </w:r>
            <w:r w:rsidR="00241CD3">
              <w:rPr>
                <w:bCs/>
                <w:sz w:val="20"/>
                <w:szCs w:val="20"/>
              </w:rPr>
              <w:t xml:space="preserve"> where possible. </w:t>
            </w:r>
          </w:p>
          <w:p w14:paraId="639A12D4" w14:textId="77777777" w:rsidR="00FC4C22" w:rsidRDefault="00FC4C22" w:rsidP="00623F2F">
            <w:pPr>
              <w:rPr>
                <w:bCs/>
                <w:sz w:val="20"/>
                <w:szCs w:val="20"/>
              </w:rPr>
            </w:pPr>
          </w:p>
          <w:p w14:paraId="571A0535" w14:textId="5643016A" w:rsidR="00623F2F" w:rsidRPr="00623F2F" w:rsidRDefault="00623F2F" w:rsidP="00623F2F">
            <w:pPr>
              <w:rPr>
                <w:b/>
                <w:bCs/>
                <w:sz w:val="20"/>
                <w:szCs w:val="20"/>
              </w:rPr>
            </w:pPr>
            <w:r w:rsidRPr="00623F2F">
              <w:rPr>
                <w:b/>
                <w:bCs/>
                <w:sz w:val="20"/>
                <w:szCs w:val="20"/>
              </w:rPr>
              <w:t>Audits</w:t>
            </w:r>
          </w:p>
          <w:p w14:paraId="1C46B0A0" w14:textId="77777777" w:rsidR="00623F2F" w:rsidRPr="00623F2F" w:rsidRDefault="00623F2F" w:rsidP="00623F2F">
            <w:pPr>
              <w:pStyle w:val="ListParagraph"/>
              <w:numPr>
                <w:ilvl w:val="0"/>
                <w:numId w:val="36"/>
              </w:numPr>
              <w:rPr>
                <w:bCs/>
                <w:sz w:val="20"/>
                <w:szCs w:val="20"/>
              </w:rPr>
            </w:pPr>
            <w:r w:rsidRPr="00623F2F">
              <w:rPr>
                <w:bCs/>
                <w:sz w:val="20"/>
                <w:szCs w:val="20"/>
              </w:rPr>
              <w:t xml:space="preserve">The entire process surrounding audits will be different. Begin preparing with technology and personnel as soon as possible. </w:t>
            </w:r>
          </w:p>
          <w:p w14:paraId="3D9B0718" w14:textId="77777777" w:rsidR="00FB5D5C" w:rsidRPr="00623F2F" w:rsidRDefault="00FB5D5C" w:rsidP="00623F2F">
            <w:pPr>
              <w:rPr>
                <w:bCs/>
                <w:sz w:val="20"/>
                <w:szCs w:val="20"/>
              </w:rPr>
            </w:pPr>
          </w:p>
        </w:tc>
      </w:tr>
    </w:tbl>
    <w:p w14:paraId="590E0E50" w14:textId="77777777" w:rsidR="00C903C2" w:rsidRDefault="00C903C2" w:rsidP="00C903C2">
      <w:pPr>
        <w:rPr>
          <w:b/>
          <w:bCs/>
        </w:rPr>
      </w:pPr>
    </w:p>
    <w:sectPr w:rsidR="00C903C2" w:rsidSect="008D5023">
      <w:headerReference w:type="default" r:id="rId16"/>
      <w:footerReference w:type="default" r:id="rId17"/>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3ED77" w14:textId="77777777" w:rsidR="00ED78F8" w:rsidRDefault="00ED78F8" w:rsidP="00ED78F8">
      <w:pPr>
        <w:spacing w:after="0" w:line="240" w:lineRule="auto"/>
      </w:pPr>
      <w:r>
        <w:separator/>
      </w:r>
    </w:p>
  </w:endnote>
  <w:endnote w:type="continuationSeparator" w:id="0">
    <w:p w14:paraId="00FBE2E3" w14:textId="77777777" w:rsidR="00ED78F8" w:rsidRDefault="00ED78F8" w:rsidP="00ED78F8">
      <w:pPr>
        <w:spacing w:after="0" w:line="240" w:lineRule="auto"/>
      </w:pPr>
      <w:r>
        <w:continuationSeparator/>
      </w:r>
    </w:p>
  </w:endnote>
  <w:endnote w:type="continuationNotice" w:id="1">
    <w:p w14:paraId="43598314" w14:textId="77777777" w:rsidR="00543CA1" w:rsidRDefault="00543C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FS Me">
    <w:panose1 w:val="02000506040000020004"/>
    <w:charset w:val="00"/>
    <w:family w:val="modern"/>
    <w:notTrueType/>
    <w:pitch w:val="variable"/>
    <w:sig w:usb0="800000AF" w:usb1="4000204A" w:usb2="00000000" w:usb3="00000000" w:csb0="0000009B"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5EAB7" w14:textId="77777777" w:rsidR="00543CA1" w:rsidRPr="008D5023" w:rsidRDefault="00212284" w:rsidP="008D5023">
    <w:pPr>
      <w:pStyle w:val="Footer"/>
      <w:ind w:left="-720"/>
      <w:rPr>
        <w:sz w:val="16"/>
      </w:rPr>
    </w:pPr>
    <w:r w:rsidRPr="00212284">
      <w:rPr>
        <w:color w:val="666666"/>
        <w:sz w:val="14"/>
        <w:szCs w:val="14"/>
        <w:shd w:val="clear" w:color="auto" w:fill="FFFFFF"/>
      </w:rPr>
      <w:t xml:space="preserve">DISCLAIMER OF LIABILITY: This document was prepared by the Society of Chemical Manufacturers and Affiliates (SOCMA) and is disseminated for informational and educational purposes only. This information is not intended as legal guidance and does not create any legal relationship or responsibility between SOCMA and user. Nothing contained herein is intended to revoke or change the requirements or specifications of individual manufacturers or local, </w:t>
    </w:r>
    <w:proofErr w:type="gramStart"/>
    <w:r w:rsidRPr="00212284">
      <w:rPr>
        <w:color w:val="666666"/>
        <w:sz w:val="14"/>
        <w:szCs w:val="14"/>
        <w:shd w:val="clear" w:color="auto" w:fill="FFFFFF"/>
      </w:rPr>
      <w:t>state</w:t>
    </w:r>
    <w:proofErr w:type="gramEnd"/>
    <w:r w:rsidRPr="00212284">
      <w:rPr>
        <w:color w:val="666666"/>
        <w:sz w:val="14"/>
        <w:szCs w:val="14"/>
        <w:shd w:val="clear" w:color="auto" w:fill="FFFFFF"/>
      </w:rPr>
      <w:t xml:space="preserve"> and federal officials that have jurisdiction in your area. The user is responsible for assuring compliance with all applicable laws and regulations.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DDFD8" w14:textId="77777777" w:rsidR="00ED78F8" w:rsidRDefault="00ED78F8" w:rsidP="00ED78F8">
      <w:pPr>
        <w:spacing w:after="0" w:line="240" w:lineRule="auto"/>
      </w:pPr>
      <w:r>
        <w:separator/>
      </w:r>
    </w:p>
  </w:footnote>
  <w:footnote w:type="continuationSeparator" w:id="0">
    <w:p w14:paraId="34F1B8FF" w14:textId="77777777" w:rsidR="00ED78F8" w:rsidRDefault="00ED78F8" w:rsidP="00ED78F8">
      <w:pPr>
        <w:spacing w:after="0" w:line="240" w:lineRule="auto"/>
      </w:pPr>
      <w:r>
        <w:continuationSeparator/>
      </w:r>
    </w:p>
  </w:footnote>
  <w:footnote w:type="continuationNotice" w:id="1">
    <w:p w14:paraId="5F34A76C" w14:textId="77777777" w:rsidR="00543CA1" w:rsidRDefault="00543C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CDC8F" w14:textId="28CD856B" w:rsidR="00ED78F8" w:rsidRDefault="00212284" w:rsidP="008D5023">
    <w:pPr>
      <w:pStyle w:val="Header"/>
    </w:pPr>
    <w:r>
      <w:rPr>
        <w:noProof/>
      </w:rPr>
      <w:drawing>
        <wp:anchor distT="0" distB="0" distL="114300" distR="114300" simplePos="0" relativeHeight="251658240" behindDoc="1" locked="0" layoutInCell="1" allowOverlap="1" wp14:anchorId="4FEA1152" wp14:editId="07D6FE68">
          <wp:simplePos x="0" y="0"/>
          <wp:positionH relativeFrom="rightMargin">
            <wp:posOffset>38100</wp:posOffset>
          </wp:positionH>
          <wp:positionV relativeFrom="paragraph">
            <wp:posOffset>-128905</wp:posOffset>
          </wp:positionV>
          <wp:extent cx="604520" cy="604520"/>
          <wp:effectExtent l="0" t="0" r="5080" b="5080"/>
          <wp:wrapTight wrapText="bothSides">
            <wp:wrapPolygon edited="0">
              <wp:start x="0" y="0"/>
              <wp:lineTo x="0" y="21101"/>
              <wp:lineTo x="21101" y="21101"/>
              <wp:lineTo x="21101" y="0"/>
              <wp:lineTo x="0" y="0"/>
            </wp:wrapPolygon>
          </wp:wrapTight>
          <wp:docPr id="12" name="Picture 12" descr="A picture containing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ma-logo-200x200-gotowebinar.jpg"/>
                  <pic:cNvPicPr/>
                </pic:nvPicPr>
                <pic:blipFill>
                  <a:blip r:embed="rId1">
                    <a:extLst>
                      <a:ext uri="{28A0092B-C50C-407E-A947-70E740481C1C}">
                        <a14:useLocalDpi xmlns:a14="http://schemas.microsoft.com/office/drawing/2010/main" val="0"/>
                      </a:ext>
                    </a:extLst>
                  </a:blip>
                  <a:stretch>
                    <a:fillRect/>
                  </a:stretch>
                </pic:blipFill>
                <pic:spPr>
                  <a:xfrm>
                    <a:off x="0" y="0"/>
                    <a:ext cx="604520" cy="604520"/>
                  </a:xfrm>
                  <a:prstGeom prst="rect">
                    <a:avLst/>
                  </a:prstGeom>
                </pic:spPr>
              </pic:pic>
            </a:graphicData>
          </a:graphic>
        </wp:anchor>
      </w:drawing>
    </w:r>
    <w:r w:rsidRPr="00212284">
      <w:rPr>
        <w:b/>
        <w:bCs/>
        <w:noProof/>
        <w:color w:val="D0CECE" w:themeColor="background2" w:themeShade="E6"/>
        <w:sz w:val="20"/>
        <w:szCs w:val="20"/>
      </w:rPr>
      <mc:AlternateContent>
        <mc:Choice Requires="wps">
          <w:drawing>
            <wp:anchor distT="45720" distB="45720" distL="114300" distR="114300" simplePos="0" relativeHeight="251658241" behindDoc="1" locked="0" layoutInCell="1" allowOverlap="1" wp14:anchorId="242093F2" wp14:editId="0C066BAE">
              <wp:simplePos x="0" y="0"/>
              <wp:positionH relativeFrom="margin">
                <wp:posOffset>-577850</wp:posOffset>
              </wp:positionH>
              <wp:positionV relativeFrom="paragraph">
                <wp:posOffset>-125730</wp:posOffset>
              </wp:positionV>
              <wp:extent cx="7092950" cy="597535"/>
              <wp:effectExtent l="0" t="0" r="0" b="0"/>
              <wp:wrapTight wrapText="bothSides">
                <wp:wrapPolygon edited="0">
                  <wp:start x="0" y="0"/>
                  <wp:lineTo x="0" y="20659"/>
                  <wp:lineTo x="21523" y="20659"/>
                  <wp:lineTo x="21523"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0" cy="597535"/>
                      </a:xfrm>
                      <a:prstGeom prst="rect">
                        <a:avLst/>
                      </a:prstGeom>
                      <a:solidFill>
                        <a:schemeClr val="accent1">
                          <a:lumMod val="75000"/>
                        </a:schemeClr>
                      </a:solidFill>
                      <a:ln w="9525">
                        <a:noFill/>
                        <a:miter lim="800000"/>
                        <a:headEnd/>
                        <a:tailEnd/>
                      </a:ln>
                    </wps:spPr>
                    <wps:txbx>
                      <w:txbxContent>
                        <w:p w14:paraId="78CA02B7" w14:textId="77777777" w:rsidR="00212284" w:rsidRPr="00212284" w:rsidRDefault="00212284" w:rsidP="00212284">
                          <w:pPr>
                            <w:spacing w:after="0" w:line="240" w:lineRule="auto"/>
                            <w:jc w:val="center"/>
                            <w:rPr>
                              <w:rFonts w:ascii="FS Me" w:hAnsi="FS Me"/>
                              <w:b/>
                              <w:bCs/>
                              <w:color w:val="FFFFFF" w:themeColor="background1"/>
                              <w:sz w:val="32"/>
                              <w:szCs w:val="32"/>
                            </w:rPr>
                          </w:pPr>
                          <w:r w:rsidRPr="00212284">
                            <w:rPr>
                              <w:rFonts w:ascii="FS Me" w:hAnsi="FS Me"/>
                              <w:b/>
                              <w:bCs/>
                              <w:color w:val="FFFFFF" w:themeColor="background1"/>
                              <w:sz w:val="32"/>
                              <w:szCs w:val="32"/>
                            </w:rPr>
                            <w:t xml:space="preserve">SOCMA Safety Solutions and Core Considerations for </w:t>
                          </w:r>
                          <w:r w:rsidRPr="00212284">
                            <w:rPr>
                              <w:rFonts w:ascii="FS Me" w:hAnsi="FS Me"/>
                              <w:b/>
                              <w:bCs/>
                              <w:color w:val="FFFFFF" w:themeColor="background1"/>
                              <w:sz w:val="32"/>
                              <w:szCs w:val="32"/>
                            </w:rPr>
                            <w:br/>
                            <w:t>Reintegrating Your Employees Back into the Workplace</w:t>
                          </w:r>
                        </w:p>
                        <w:p w14:paraId="78D72E79" w14:textId="77777777" w:rsidR="00212284" w:rsidRDefault="00212284" w:rsidP="0021228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093F2" id="_x0000_t202" coordsize="21600,21600" o:spt="202" path="m,l,21600r21600,l21600,xe">
              <v:stroke joinstyle="miter"/>
              <v:path gradientshapeok="t" o:connecttype="rect"/>
            </v:shapetype>
            <v:shape id="Text Box 2" o:spid="_x0000_s1026" type="#_x0000_t202" style="position:absolute;margin-left:-45.5pt;margin-top:-9.9pt;width:558.5pt;height:47.0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" fillcolor="#2f5496 [2404]" stroked="f">
              <v:textbox>
                <w:txbxContent>
                  <w:p w14:paraId="78CA02B7" w14:textId="77777777" w:rsidR="00212284" w:rsidRPr="00212284" w:rsidRDefault="00212284" w:rsidP="00212284">
                    <w:pPr>
                      <w:spacing w:after="0" w:line="240" w:lineRule="auto"/>
                      <w:jc w:val="center"/>
                      <w:rPr>
                        <w:rFonts w:ascii="FS Me" w:hAnsi="FS Me"/>
                        <w:b/>
                        <w:bCs/>
                        <w:color w:val="FFFFFF" w:themeColor="background1"/>
                        <w:sz w:val="32"/>
                        <w:szCs w:val="32"/>
                      </w:rPr>
                    </w:pPr>
                    <w:r w:rsidRPr="00212284">
                      <w:rPr>
                        <w:rFonts w:ascii="FS Me" w:hAnsi="FS Me"/>
                        <w:b/>
                        <w:bCs/>
                        <w:color w:val="FFFFFF" w:themeColor="background1"/>
                        <w:sz w:val="32"/>
                        <w:szCs w:val="32"/>
                      </w:rPr>
                      <w:t xml:space="preserve">SOCMA Safety Solutions and Core Considerations for </w:t>
                    </w:r>
                    <w:r w:rsidRPr="00212284">
                      <w:rPr>
                        <w:rFonts w:ascii="FS Me" w:hAnsi="FS Me"/>
                        <w:b/>
                        <w:bCs/>
                        <w:color w:val="FFFFFF" w:themeColor="background1"/>
                        <w:sz w:val="32"/>
                        <w:szCs w:val="32"/>
                      </w:rPr>
                      <w:br/>
                      <w:t>Reintegrating Your Employees Back into the Workplace</w:t>
                    </w:r>
                  </w:p>
                  <w:p w14:paraId="78D72E79" w14:textId="77777777" w:rsidR="00212284" w:rsidRDefault="00212284" w:rsidP="00212284"/>
                </w:txbxContent>
              </v:textbox>
              <w10:wrap type="tigh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00E8"/>
    <w:multiLevelType w:val="hybridMultilevel"/>
    <w:tmpl w:val="F08C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B93A63"/>
    <w:multiLevelType w:val="hybridMultilevel"/>
    <w:tmpl w:val="2E3E44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841CC"/>
    <w:multiLevelType w:val="hybridMultilevel"/>
    <w:tmpl w:val="160047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255CFD"/>
    <w:multiLevelType w:val="hybridMultilevel"/>
    <w:tmpl w:val="8FD685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3BA2BA7"/>
    <w:multiLevelType w:val="hybridMultilevel"/>
    <w:tmpl w:val="E3D024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29135C"/>
    <w:multiLevelType w:val="hybridMultilevel"/>
    <w:tmpl w:val="BEB84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5CC1752"/>
    <w:multiLevelType w:val="hybridMultilevel"/>
    <w:tmpl w:val="FDBCA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5C9D"/>
    <w:multiLevelType w:val="hybridMultilevel"/>
    <w:tmpl w:val="443E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E41B5A"/>
    <w:multiLevelType w:val="hybridMultilevel"/>
    <w:tmpl w:val="51A0F6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E298B"/>
    <w:multiLevelType w:val="hybridMultilevel"/>
    <w:tmpl w:val="DFDC87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A42EFD"/>
    <w:multiLevelType w:val="hybridMultilevel"/>
    <w:tmpl w:val="C2A27C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1A3B70"/>
    <w:multiLevelType w:val="hybridMultilevel"/>
    <w:tmpl w:val="114AA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F2EEE"/>
    <w:multiLevelType w:val="hybridMultilevel"/>
    <w:tmpl w:val="333CEE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25A0AD6"/>
    <w:multiLevelType w:val="hybridMultilevel"/>
    <w:tmpl w:val="50AC6F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A76693"/>
    <w:multiLevelType w:val="hybridMultilevel"/>
    <w:tmpl w:val="A28A306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D217980"/>
    <w:multiLevelType w:val="hybridMultilevel"/>
    <w:tmpl w:val="F50C8A2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E327652"/>
    <w:multiLevelType w:val="hybridMultilevel"/>
    <w:tmpl w:val="EF8C5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9D4782"/>
    <w:multiLevelType w:val="hybridMultilevel"/>
    <w:tmpl w:val="13FCFB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D17999"/>
    <w:multiLevelType w:val="hybridMultilevel"/>
    <w:tmpl w:val="8FA41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6B49AE"/>
    <w:multiLevelType w:val="hybridMultilevel"/>
    <w:tmpl w:val="719E3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764B7"/>
    <w:multiLevelType w:val="hybridMultilevel"/>
    <w:tmpl w:val="2F7284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C3C15B0"/>
    <w:multiLevelType w:val="hybridMultilevel"/>
    <w:tmpl w:val="4BB8620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D007731"/>
    <w:multiLevelType w:val="hybridMultilevel"/>
    <w:tmpl w:val="AAC6DE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AF70AC"/>
    <w:multiLevelType w:val="hybridMultilevel"/>
    <w:tmpl w:val="812E44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1B3823"/>
    <w:multiLevelType w:val="hybridMultilevel"/>
    <w:tmpl w:val="C50A97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91C754D"/>
    <w:multiLevelType w:val="hybridMultilevel"/>
    <w:tmpl w:val="C226D6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BAE0C95"/>
    <w:multiLevelType w:val="hybridMultilevel"/>
    <w:tmpl w:val="BD2267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497BFF"/>
    <w:multiLevelType w:val="hybridMultilevel"/>
    <w:tmpl w:val="5A52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0F1639"/>
    <w:multiLevelType w:val="hybridMultilevel"/>
    <w:tmpl w:val="296682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5D289E"/>
    <w:multiLevelType w:val="hybridMultilevel"/>
    <w:tmpl w:val="A94A1798"/>
    <w:lvl w:ilvl="0" w:tplc="69A42C4A">
      <w:start w:val="1"/>
      <w:numFmt w:val="decimal"/>
      <w:lvlText w:val="%1."/>
      <w:lvlJc w:val="left"/>
      <w:pPr>
        <w:ind w:left="0" w:hanging="360"/>
      </w:pPr>
      <w:rPr>
        <w:b w:val="0"/>
        <w:bCs w:val="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15:restartNumberingAfterBreak="0">
    <w:nsid w:val="5A7E687B"/>
    <w:multiLevelType w:val="hybridMultilevel"/>
    <w:tmpl w:val="EA2416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896722"/>
    <w:multiLevelType w:val="hybridMultilevel"/>
    <w:tmpl w:val="B15EED8E"/>
    <w:lvl w:ilvl="0" w:tplc="04090005">
      <w:start w:val="1"/>
      <w:numFmt w:val="bullet"/>
      <w:lvlText w:val=""/>
      <w:lvlJc w:val="left"/>
      <w:pPr>
        <w:ind w:left="1040" w:hanging="360"/>
      </w:pPr>
      <w:rPr>
        <w:rFonts w:ascii="Wingdings" w:hAnsi="Wingdings"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32" w15:restartNumberingAfterBreak="0">
    <w:nsid w:val="67CC51B6"/>
    <w:multiLevelType w:val="hybridMultilevel"/>
    <w:tmpl w:val="0106A0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736479"/>
    <w:multiLevelType w:val="hybridMultilevel"/>
    <w:tmpl w:val="7DA81B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4C0687"/>
    <w:multiLevelType w:val="hybridMultilevel"/>
    <w:tmpl w:val="A04857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DB1E31"/>
    <w:multiLevelType w:val="hybridMultilevel"/>
    <w:tmpl w:val="033C4E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99784A"/>
    <w:multiLevelType w:val="hybridMultilevel"/>
    <w:tmpl w:val="0D4C7D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34"/>
  </w:num>
  <w:num w:numId="4">
    <w:abstractNumId w:val="22"/>
  </w:num>
  <w:num w:numId="5">
    <w:abstractNumId w:val="9"/>
  </w:num>
  <w:num w:numId="6">
    <w:abstractNumId w:val="27"/>
  </w:num>
  <w:num w:numId="7">
    <w:abstractNumId w:val="26"/>
  </w:num>
  <w:num w:numId="8">
    <w:abstractNumId w:val="19"/>
  </w:num>
  <w:num w:numId="9">
    <w:abstractNumId w:val="12"/>
  </w:num>
  <w:num w:numId="10">
    <w:abstractNumId w:val="28"/>
  </w:num>
  <w:num w:numId="11">
    <w:abstractNumId w:val="0"/>
  </w:num>
  <w:num w:numId="12">
    <w:abstractNumId w:val="25"/>
  </w:num>
  <w:num w:numId="13">
    <w:abstractNumId w:val="33"/>
  </w:num>
  <w:num w:numId="14">
    <w:abstractNumId w:val="35"/>
  </w:num>
  <w:num w:numId="15">
    <w:abstractNumId w:val="13"/>
  </w:num>
  <w:num w:numId="16">
    <w:abstractNumId w:val="3"/>
  </w:num>
  <w:num w:numId="17">
    <w:abstractNumId w:val="24"/>
  </w:num>
  <w:num w:numId="18">
    <w:abstractNumId w:val="16"/>
  </w:num>
  <w:num w:numId="19">
    <w:abstractNumId w:val="18"/>
  </w:num>
  <w:num w:numId="20">
    <w:abstractNumId w:val="1"/>
  </w:num>
  <w:num w:numId="21">
    <w:abstractNumId w:val="31"/>
  </w:num>
  <w:num w:numId="22">
    <w:abstractNumId w:val="23"/>
  </w:num>
  <w:num w:numId="23">
    <w:abstractNumId w:val="30"/>
  </w:num>
  <w:num w:numId="24">
    <w:abstractNumId w:val="2"/>
  </w:num>
  <w:num w:numId="25">
    <w:abstractNumId w:val="21"/>
  </w:num>
  <w:num w:numId="26">
    <w:abstractNumId w:val="14"/>
  </w:num>
  <w:num w:numId="27">
    <w:abstractNumId w:val="36"/>
  </w:num>
  <w:num w:numId="28">
    <w:abstractNumId w:val="17"/>
  </w:num>
  <w:num w:numId="29">
    <w:abstractNumId w:val="11"/>
  </w:num>
  <w:num w:numId="30">
    <w:abstractNumId w:val="10"/>
  </w:num>
  <w:num w:numId="31">
    <w:abstractNumId w:val="5"/>
  </w:num>
  <w:num w:numId="32">
    <w:abstractNumId w:val="15"/>
  </w:num>
  <w:num w:numId="33">
    <w:abstractNumId w:val="32"/>
  </w:num>
  <w:num w:numId="34">
    <w:abstractNumId w:val="6"/>
  </w:num>
  <w:num w:numId="35">
    <w:abstractNumId w:val="8"/>
  </w:num>
  <w:num w:numId="36">
    <w:abstractNumId w:val="4"/>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D89"/>
    <w:rsid w:val="00000A54"/>
    <w:rsid w:val="00003C69"/>
    <w:rsid w:val="0001770D"/>
    <w:rsid w:val="00047A8E"/>
    <w:rsid w:val="000732E7"/>
    <w:rsid w:val="0009421F"/>
    <w:rsid w:val="0009688A"/>
    <w:rsid w:val="000A0D86"/>
    <w:rsid w:val="000A1A23"/>
    <w:rsid w:val="000A3456"/>
    <w:rsid w:val="000A4D8C"/>
    <w:rsid w:val="000B2C24"/>
    <w:rsid w:val="000B572E"/>
    <w:rsid w:val="000C1716"/>
    <w:rsid w:val="000D09AE"/>
    <w:rsid w:val="000E0781"/>
    <w:rsid w:val="000E1E00"/>
    <w:rsid w:val="001001D2"/>
    <w:rsid w:val="0011316C"/>
    <w:rsid w:val="001142A4"/>
    <w:rsid w:val="001269A4"/>
    <w:rsid w:val="0014787F"/>
    <w:rsid w:val="0015551E"/>
    <w:rsid w:val="00170DD8"/>
    <w:rsid w:val="0017273C"/>
    <w:rsid w:val="00184978"/>
    <w:rsid w:val="001A6073"/>
    <w:rsid w:val="001A712B"/>
    <w:rsid w:val="001C4EF7"/>
    <w:rsid w:val="001D70A9"/>
    <w:rsid w:val="001D7303"/>
    <w:rsid w:val="001F57A6"/>
    <w:rsid w:val="00200AB5"/>
    <w:rsid w:val="00206628"/>
    <w:rsid w:val="00211A20"/>
    <w:rsid w:val="002120BC"/>
    <w:rsid w:val="00212284"/>
    <w:rsid w:val="0022463D"/>
    <w:rsid w:val="00235378"/>
    <w:rsid w:val="00241CD3"/>
    <w:rsid w:val="00243C6D"/>
    <w:rsid w:val="002457BF"/>
    <w:rsid w:val="002608B5"/>
    <w:rsid w:val="002647EE"/>
    <w:rsid w:val="002719F7"/>
    <w:rsid w:val="00287014"/>
    <w:rsid w:val="002A64B5"/>
    <w:rsid w:val="002B073F"/>
    <w:rsid w:val="002B0D3D"/>
    <w:rsid w:val="002B48F2"/>
    <w:rsid w:val="002C7061"/>
    <w:rsid w:val="00300BAB"/>
    <w:rsid w:val="00302CC6"/>
    <w:rsid w:val="00303905"/>
    <w:rsid w:val="00320235"/>
    <w:rsid w:val="00321FA3"/>
    <w:rsid w:val="00326EBB"/>
    <w:rsid w:val="00350EC4"/>
    <w:rsid w:val="00351C44"/>
    <w:rsid w:val="003558E5"/>
    <w:rsid w:val="00355DAF"/>
    <w:rsid w:val="0036183B"/>
    <w:rsid w:val="0038223F"/>
    <w:rsid w:val="00397423"/>
    <w:rsid w:val="003C62BD"/>
    <w:rsid w:val="003D7B1F"/>
    <w:rsid w:val="003F575D"/>
    <w:rsid w:val="00413A08"/>
    <w:rsid w:val="00416E5B"/>
    <w:rsid w:val="00426689"/>
    <w:rsid w:val="00432725"/>
    <w:rsid w:val="004348F3"/>
    <w:rsid w:val="00437A46"/>
    <w:rsid w:val="00441B8F"/>
    <w:rsid w:val="0044422F"/>
    <w:rsid w:val="004610E3"/>
    <w:rsid w:val="004637D7"/>
    <w:rsid w:val="00463D82"/>
    <w:rsid w:val="00473A1D"/>
    <w:rsid w:val="0048777F"/>
    <w:rsid w:val="004907DA"/>
    <w:rsid w:val="004919B9"/>
    <w:rsid w:val="004A4386"/>
    <w:rsid w:val="004B0AD3"/>
    <w:rsid w:val="004C536C"/>
    <w:rsid w:val="004F4AC0"/>
    <w:rsid w:val="00503D58"/>
    <w:rsid w:val="00506396"/>
    <w:rsid w:val="00514C8A"/>
    <w:rsid w:val="00515AD6"/>
    <w:rsid w:val="0052230B"/>
    <w:rsid w:val="00524ADA"/>
    <w:rsid w:val="00543CA1"/>
    <w:rsid w:val="0054594A"/>
    <w:rsid w:val="00553D5A"/>
    <w:rsid w:val="00554B9C"/>
    <w:rsid w:val="005564B5"/>
    <w:rsid w:val="0056359B"/>
    <w:rsid w:val="00580C89"/>
    <w:rsid w:val="00581B8B"/>
    <w:rsid w:val="00587807"/>
    <w:rsid w:val="005A3723"/>
    <w:rsid w:val="005A5808"/>
    <w:rsid w:val="005B223A"/>
    <w:rsid w:val="005B43ED"/>
    <w:rsid w:val="005B77F9"/>
    <w:rsid w:val="005C6D38"/>
    <w:rsid w:val="005C6D4E"/>
    <w:rsid w:val="005C7EFC"/>
    <w:rsid w:val="0062004A"/>
    <w:rsid w:val="00623583"/>
    <w:rsid w:val="00623F2F"/>
    <w:rsid w:val="006305D4"/>
    <w:rsid w:val="00641AB9"/>
    <w:rsid w:val="00646FB1"/>
    <w:rsid w:val="006558B9"/>
    <w:rsid w:val="0065712D"/>
    <w:rsid w:val="00666FB7"/>
    <w:rsid w:val="00683FCD"/>
    <w:rsid w:val="006A2950"/>
    <w:rsid w:val="006B0337"/>
    <w:rsid w:val="006B2F8B"/>
    <w:rsid w:val="006B5876"/>
    <w:rsid w:val="006D10D7"/>
    <w:rsid w:val="006E5475"/>
    <w:rsid w:val="006E7047"/>
    <w:rsid w:val="006F47CC"/>
    <w:rsid w:val="00702594"/>
    <w:rsid w:val="00704D27"/>
    <w:rsid w:val="007109A0"/>
    <w:rsid w:val="00711868"/>
    <w:rsid w:val="00763523"/>
    <w:rsid w:val="00764B6B"/>
    <w:rsid w:val="007720EB"/>
    <w:rsid w:val="00780D71"/>
    <w:rsid w:val="00784E0A"/>
    <w:rsid w:val="00786A1C"/>
    <w:rsid w:val="007901DD"/>
    <w:rsid w:val="00797A7E"/>
    <w:rsid w:val="007A2DAF"/>
    <w:rsid w:val="007B4298"/>
    <w:rsid w:val="007B6CF0"/>
    <w:rsid w:val="007C2627"/>
    <w:rsid w:val="00806ADB"/>
    <w:rsid w:val="008073DB"/>
    <w:rsid w:val="008375B8"/>
    <w:rsid w:val="008378A9"/>
    <w:rsid w:val="00837DEA"/>
    <w:rsid w:val="0084122A"/>
    <w:rsid w:val="00857D1D"/>
    <w:rsid w:val="00865699"/>
    <w:rsid w:val="0087696A"/>
    <w:rsid w:val="00881CBC"/>
    <w:rsid w:val="008C1E11"/>
    <w:rsid w:val="008D3BD8"/>
    <w:rsid w:val="008D5023"/>
    <w:rsid w:val="008F751F"/>
    <w:rsid w:val="00912D3C"/>
    <w:rsid w:val="009240BA"/>
    <w:rsid w:val="0092509D"/>
    <w:rsid w:val="00930883"/>
    <w:rsid w:val="00934287"/>
    <w:rsid w:val="00934FD5"/>
    <w:rsid w:val="00962BC1"/>
    <w:rsid w:val="00971DB4"/>
    <w:rsid w:val="00993B70"/>
    <w:rsid w:val="00997E3C"/>
    <w:rsid w:val="009A0169"/>
    <w:rsid w:val="009C5F04"/>
    <w:rsid w:val="009C60E6"/>
    <w:rsid w:val="009F16FF"/>
    <w:rsid w:val="00A01D89"/>
    <w:rsid w:val="00A101C0"/>
    <w:rsid w:val="00A1427F"/>
    <w:rsid w:val="00A20501"/>
    <w:rsid w:val="00A27047"/>
    <w:rsid w:val="00A27A26"/>
    <w:rsid w:val="00A318FE"/>
    <w:rsid w:val="00A44AF1"/>
    <w:rsid w:val="00A557C8"/>
    <w:rsid w:val="00A678B0"/>
    <w:rsid w:val="00A67DB9"/>
    <w:rsid w:val="00A7026C"/>
    <w:rsid w:val="00A74D4D"/>
    <w:rsid w:val="00A76F31"/>
    <w:rsid w:val="00A8245A"/>
    <w:rsid w:val="00A8684E"/>
    <w:rsid w:val="00AA331B"/>
    <w:rsid w:val="00AA411C"/>
    <w:rsid w:val="00AB3F6F"/>
    <w:rsid w:val="00AC2C89"/>
    <w:rsid w:val="00AC3794"/>
    <w:rsid w:val="00AD2F20"/>
    <w:rsid w:val="00AE7CAB"/>
    <w:rsid w:val="00AF591F"/>
    <w:rsid w:val="00B04B62"/>
    <w:rsid w:val="00B17B6E"/>
    <w:rsid w:val="00B20DA9"/>
    <w:rsid w:val="00B276F0"/>
    <w:rsid w:val="00B35015"/>
    <w:rsid w:val="00B5498D"/>
    <w:rsid w:val="00B6307F"/>
    <w:rsid w:val="00B63FFE"/>
    <w:rsid w:val="00B738D6"/>
    <w:rsid w:val="00B75ACA"/>
    <w:rsid w:val="00B96969"/>
    <w:rsid w:val="00BA1479"/>
    <w:rsid w:val="00BB5DA6"/>
    <w:rsid w:val="00BD3222"/>
    <w:rsid w:val="00BD5BF4"/>
    <w:rsid w:val="00BE60A9"/>
    <w:rsid w:val="00C27035"/>
    <w:rsid w:val="00C378B1"/>
    <w:rsid w:val="00C41C31"/>
    <w:rsid w:val="00C473F0"/>
    <w:rsid w:val="00C50D18"/>
    <w:rsid w:val="00C525F2"/>
    <w:rsid w:val="00C54512"/>
    <w:rsid w:val="00C630A1"/>
    <w:rsid w:val="00C903C2"/>
    <w:rsid w:val="00CA02BA"/>
    <w:rsid w:val="00CA0332"/>
    <w:rsid w:val="00CA43F5"/>
    <w:rsid w:val="00CB4142"/>
    <w:rsid w:val="00CB6482"/>
    <w:rsid w:val="00CB6ADF"/>
    <w:rsid w:val="00CB7A59"/>
    <w:rsid w:val="00CD6CB7"/>
    <w:rsid w:val="00CE648C"/>
    <w:rsid w:val="00CE7080"/>
    <w:rsid w:val="00D11C76"/>
    <w:rsid w:val="00D14F9C"/>
    <w:rsid w:val="00D32444"/>
    <w:rsid w:val="00D335FC"/>
    <w:rsid w:val="00D42C6B"/>
    <w:rsid w:val="00D47528"/>
    <w:rsid w:val="00D47E6D"/>
    <w:rsid w:val="00D52980"/>
    <w:rsid w:val="00D741F0"/>
    <w:rsid w:val="00D75475"/>
    <w:rsid w:val="00D95225"/>
    <w:rsid w:val="00D96471"/>
    <w:rsid w:val="00DA7060"/>
    <w:rsid w:val="00DB29FA"/>
    <w:rsid w:val="00DC27E7"/>
    <w:rsid w:val="00DE0D83"/>
    <w:rsid w:val="00DF41ED"/>
    <w:rsid w:val="00E079C3"/>
    <w:rsid w:val="00E141C0"/>
    <w:rsid w:val="00E30C81"/>
    <w:rsid w:val="00E37508"/>
    <w:rsid w:val="00E415AF"/>
    <w:rsid w:val="00E809ED"/>
    <w:rsid w:val="00E82987"/>
    <w:rsid w:val="00E83087"/>
    <w:rsid w:val="00E83AFB"/>
    <w:rsid w:val="00E83E14"/>
    <w:rsid w:val="00E907A0"/>
    <w:rsid w:val="00EA3CC7"/>
    <w:rsid w:val="00EA5633"/>
    <w:rsid w:val="00EB3D3F"/>
    <w:rsid w:val="00ED7239"/>
    <w:rsid w:val="00ED78F8"/>
    <w:rsid w:val="00EE0363"/>
    <w:rsid w:val="00EE1603"/>
    <w:rsid w:val="00EE24EC"/>
    <w:rsid w:val="00EE2FB4"/>
    <w:rsid w:val="00F033D8"/>
    <w:rsid w:val="00F06A66"/>
    <w:rsid w:val="00F1384D"/>
    <w:rsid w:val="00F40D87"/>
    <w:rsid w:val="00F45548"/>
    <w:rsid w:val="00F45C9E"/>
    <w:rsid w:val="00F47DAD"/>
    <w:rsid w:val="00F50934"/>
    <w:rsid w:val="00F7114A"/>
    <w:rsid w:val="00F72302"/>
    <w:rsid w:val="00F7340D"/>
    <w:rsid w:val="00FB5D5C"/>
    <w:rsid w:val="00FC4C22"/>
    <w:rsid w:val="00FD568A"/>
    <w:rsid w:val="00FD613D"/>
    <w:rsid w:val="00FE50F6"/>
    <w:rsid w:val="00FE65F1"/>
    <w:rsid w:val="00FF34E1"/>
    <w:rsid w:val="018613F0"/>
    <w:rsid w:val="05E4CB99"/>
    <w:rsid w:val="098565D1"/>
    <w:rsid w:val="09F24BE9"/>
    <w:rsid w:val="0E1EA542"/>
    <w:rsid w:val="1419786E"/>
    <w:rsid w:val="205D6DCA"/>
    <w:rsid w:val="27AA348B"/>
    <w:rsid w:val="31DE2EAE"/>
    <w:rsid w:val="32F32440"/>
    <w:rsid w:val="34C9142A"/>
    <w:rsid w:val="3A8FCCE3"/>
    <w:rsid w:val="3D6F008B"/>
    <w:rsid w:val="40F0992A"/>
    <w:rsid w:val="432B7D23"/>
    <w:rsid w:val="4533BBDB"/>
    <w:rsid w:val="46C94FEE"/>
    <w:rsid w:val="4927B1E1"/>
    <w:rsid w:val="507AD86A"/>
    <w:rsid w:val="50FE7E6A"/>
    <w:rsid w:val="5183CFE8"/>
    <w:rsid w:val="58FDA39A"/>
    <w:rsid w:val="5B189DBA"/>
    <w:rsid w:val="5CC6FE2A"/>
    <w:rsid w:val="72BB4941"/>
    <w:rsid w:val="763F10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90CFA0"/>
  <w15:chartTrackingRefBased/>
  <w15:docId w15:val="{319F3F69-F223-4AF8-932B-5B2147CFF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4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9B9"/>
    <w:pPr>
      <w:ind w:left="720"/>
      <w:contextualSpacing/>
    </w:pPr>
  </w:style>
  <w:style w:type="paragraph" w:styleId="Header">
    <w:name w:val="header"/>
    <w:basedOn w:val="Normal"/>
    <w:link w:val="HeaderChar"/>
    <w:uiPriority w:val="99"/>
    <w:unhideWhenUsed/>
    <w:rsid w:val="00ED7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8F8"/>
  </w:style>
  <w:style w:type="paragraph" w:styleId="Footer">
    <w:name w:val="footer"/>
    <w:basedOn w:val="Normal"/>
    <w:link w:val="FooterChar"/>
    <w:uiPriority w:val="99"/>
    <w:unhideWhenUsed/>
    <w:rsid w:val="00ED7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8F8"/>
  </w:style>
  <w:style w:type="paragraph" w:styleId="NoSpacing">
    <w:name w:val="No Spacing"/>
    <w:link w:val="NoSpacingChar"/>
    <w:uiPriority w:val="1"/>
    <w:qFormat/>
    <w:rsid w:val="00543CA1"/>
    <w:pPr>
      <w:spacing w:after="0" w:line="240" w:lineRule="auto"/>
    </w:pPr>
    <w:rPr>
      <w:rFonts w:eastAsiaTheme="minorEastAsia"/>
    </w:rPr>
  </w:style>
  <w:style w:type="character" w:customStyle="1" w:styleId="NoSpacingChar">
    <w:name w:val="No Spacing Char"/>
    <w:basedOn w:val="DefaultParagraphFont"/>
    <w:link w:val="NoSpacing"/>
    <w:uiPriority w:val="1"/>
    <w:rsid w:val="00543CA1"/>
    <w:rPr>
      <w:rFonts w:eastAsiaTheme="minorEastAsia"/>
    </w:rPr>
  </w:style>
  <w:style w:type="paragraph" w:styleId="BalloonText">
    <w:name w:val="Balloon Text"/>
    <w:basedOn w:val="Normal"/>
    <w:link w:val="BalloonTextChar"/>
    <w:uiPriority w:val="99"/>
    <w:semiHidden/>
    <w:unhideWhenUsed/>
    <w:rsid w:val="00AE7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AB"/>
    <w:rPr>
      <w:rFonts w:ascii="Segoe UI" w:hAnsi="Segoe UI" w:cs="Segoe UI"/>
      <w:sz w:val="18"/>
      <w:szCs w:val="18"/>
    </w:rPr>
  </w:style>
  <w:style w:type="character" w:styleId="Hyperlink">
    <w:name w:val="Hyperlink"/>
    <w:basedOn w:val="DefaultParagraphFont"/>
    <w:uiPriority w:val="99"/>
    <w:unhideWhenUsed/>
    <w:rsid w:val="00623F2F"/>
    <w:rPr>
      <w:color w:val="0563C1" w:themeColor="hyperlink"/>
      <w:u w:val="single"/>
    </w:rPr>
  </w:style>
  <w:style w:type="character" w:styleId="UnresolvedMention">
    <w:name w:val="Unresolved Mention"/>
    <w:basedOn w:val="DefaultParagraphFont"/>
    <w:uiPriority w:val="99"/>
    <w:semiHidden/>
    <w:unhideWhenUsed/>
    <w:rsid w:val="00623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cma.org/covid-19/"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ocma.org/wp-content/uploads/2020/03/Temporary-Maximum-Occupancy.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cma.org/covid-19-state-ppe-inventory-reporting/" TargetMode="External"/><Relationship Id="rId5" Type="http://schemas.openxmlformats.org/officeDocument/2006/relationships/numbering" Target="numbering.xml"/><Relationship Id="rId15" Type="http://schemas.openxmlformats.org/officeDocument/2006/relationships/hyperlink" Target="https://www.socma.org/operations-manufacturing/trainin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cma.org/commercial/lead-she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C7CFF3E7087147AE64971C3145F85C" ma:contentTypeVersion="12" ma:contentTypeDescription="Create a new document." ma:contentTypeScope="" ma:versionID="4b481ebd0d3104a589b57bfb25bafd7a">
  <xsd:schema xmlns:xsd="http://www.w3.org/2001/XMLSchema" xmlns:xs="http://www.w3.org/2001/XMLSchema" xmlns:p="http://schemas.microsoft.com/office/2006/metadata/properties" xmlns:ns2="db8b4d9d-0e4b-46ec-9231-183801eae115" xmlns:ns3="0d1654e5-77b8-452f-a929-732c81f85c02" targetNamespace="http://schemas.microsoft.com/office/2006/metadata/properties" ma:root="true" ma:fieldsID="5dfd81beccffc7d99fc1a8f38cfe5e7d" ns2:_="" ns3:_="">
    <xsd:import namespace="db8b4d9d-0e4b-46ec-9231-183801eae115"/>
    <xsd:import namespace="0d1654e5-77b8-452f-a929-732c81f85c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b4d9d-0e4b-46ec-9231-183801ea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1654e5-77b8-452f-a929-732c81f85c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BC7CFF3E7087147AE64971C3145F85C" ma:contentTypeVersion="12" ma:contentTypeDescription="Create a new document." ma:contentTypeScope="" ma:versionID="4b481ebd0d3104a589b57bfb25bafd7a">
  <xsd:schema xmlns:xsd="http://www.w3.org/2001/XMLSchema" xmlns:xs="http://www.w3.org/2001/XMLSchema" xmlns:p="http://schemas.microsoft.com/office/2006/metadata/properties" xmlns:ns2="db8b4d9d-0e4b-46ec-9231-183801eae115" xmlns:ns3="0d1654e5-77b8-452f-a929-732c81f85c02" targetNamespace="http://schemas.microsoft.com/office/2006/metadata/properties" ma:root="true" ma:fieldsID="5dfd81beccffc7d99fc1a8f38cfe5e7d" ns2:_="" ns3:_="">
    <xsd:import namespace="db8b4d9d-0e4b-46ec-9231-183801eae115"/>
    <xsd:import namespace="0d1654e5-77b8-452f-a929-732c81f85c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b4d9d-0e4b-46ec-9231-183801ea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1654e5-77b8-452f-a929-732c81f85c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B7AAFF-5D4E-41FE-B6CA-72CD14D60F07}">
  <ds:schemaRefs>
    <ds:schemaRef ds:uri="http://schemas.microsoft.com/office/2006/metadata/contentType"/>
    <ds:schemaRef ds:uri="http://schemas.microsoft.com/office/2006/metadata/properties/metaAttributes"/>
    <ds:schemaRef ds:uri="http://www.w3.org/2000/xmlns/"/>
    <ds:schemaRef ds:uri="http://www.w3.org/2001/XMLSchema"/>
    <ds:schemaRef ds:uri="db8b4d9d-0e4b-46ec-9231-183801eae115"/>
    <ds:schemaRef ds:uri="0d1654e5-77b8-452f-a929-732c81f85c0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B1BAA-589F-42B8-B543-F30E4D2B374A}">
  <ds:schemaRefs>
    <ds:schemaRef ds:uri="http://schemas.microsoft.com/sharepoint/v3/contenttype/forms"/>
  </ds:schemaRefs>
</ds:datastoreItem>
</file>

<file path=customXml/itemProps3.xml><?xml version="1.0" encoding="utf-8"?>
<ds:datastoreItem xmlns:ds="http://schemas.openxmlformats.org/officeDocument/2006/customXml" ds:itemID="{5BFAB894-A604-406A-A3A5-77EB2545C630}">
  <ds:schemaRefs>
    <ds:schemaRef ds:uri="http://schemas.microsoft.com/office/2006/metadata/properties"/>
    <ds:schemaRef ds:uri="http://www.w3.org/2000/xmlns/"/>
    <ds:schemaRef ds:uri="http://schemas.microsoft.com/office/infopath/2007/PartnerControls"/>
  </ds:schemaRefs>
</ds:datastoreItem>
</file>

<file path=customXml/itemProps4.xml><?xml version="1.0" encoding="utf-8"?>
<ds:datastoreItem xmlns:ds="http://schemas.openxmlformats.org/officeDocument/2006/customXml" ds:itemID="{D446F4FF-6B11-4F33-AF83-756FC9F7D03C}">
  <ds:schemaRefs>
    <ds:schemaRef ds:uri="http://schemas.microsoft.com/office/2006/metadata/contentType"/>
    <ds:schemaRef ds:uri="http://schemas.microsoft.com/office/2006/metadata/properties/metaAttributes"/>
    <ds:schemaRef ds:uri="http://www.w3.org/2000/xmlns/"/>
    <ds:schemaRef ds:uri="http://www.w3.org/2001/XMLSchema"/>
    <ds:schemaRef ds:uri="db8b4d9d-0e4b-46ec-9231-183801eae115"/>
    <ds:schemaRef ds:uri="0d1654e5-77b8-452f-a929-732c81f85c0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3</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Floyd</dc:creator>
  <cp:keywords/>
  <dc:description/>
  <cp:lastModifiedBy>Samantha Floyd</cp:lastModifiedBy>
  <cp:revision>127</cp:revision>
  <dcterms:created xsi:type="dcterms:W3CDTF">2020-05-07T04:09:00Z</dcterms:created>
  <dcterms:modified xsi:type="dcterms:W3CDTF">2020-05-11T19:41:00Z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0x0101004BC7CFF3E7087147AE64971C3145F85C</vt:lpwstr>
  </property>
</Properties>
</file>