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14"/>
      </w:tblGrid>
      <w:tr w:rsidR="00B1247D" w14:paraId="097BDCFF" w14:textId="77777777" w:rsidTr="00A105E2">
        <w:tc>
          <w:tcPr>
            <w:tcW w:w="9350" w:type="dxa"/>
            <w:tcBorders>
              <w:top w:val="double" w:sz="6" w:space="0" w:color="FF0000"/>
              <w:left w:val="double" w:sz="6" w:space="0" w:color="FF0000"/>
              <w:bottom w:val="double" w:sz="6" w:space="0" w:color="FF0000"/>
              <w:right w:val="double" w:sz="6" w:space="0" w:color="FF0000"/>
            </w:tcBorders>
            <w:shd w:val="clear" w:color="auto" w:fill="FFFFFF" w:themeFill="background1"/>
          </w:tcPr>
          <w:p w14:paraId="6B30E3F7" w14:textId="05AA614E" w:rsidR="00B1247D" w:rsidRPr="00A105E2" w:rsidRDefault="00B1247D" w:rsidP="00B1247D">
            <w:pPr>
              <w:rPr>
                <w:sz w:val="12"/>
                <w:szCs w:val="12"/>
              </w:rPr>
            </w:pPr>
          </w:p>
          <w:p w14:paraId="4EB33950" w14:textId="604735AC" w:rsidR="00A105E2" w:rsidRPr="00A105E2" w:rsidRDefault="00A105E2" w:rsidP="00A105E2">
            <w:pPr>
              <w:jc w:val="center"/>
              <w:rPr>
                <w:b/>
                <w:bCs/>
                <w:sz w:val="28"/>
                <w:szCs w:val="28"/>
              </w:rPr>
            </w:pPr>
            <w:r w:rsidRPr="00A105E2">
              <w:rPr>
                <w:b/>
                <w:bCs/>
                <w:sz w:val="28"/>
                <w:szCs w:val="28"/>
              </w:rPr>
              <w:t>Notice</w:t>
            </w:r>
          </w:p>
          <w:p w14:paraId="48D0EB8B" w14:textId="77777777" w:rsidR="00A105E2" w:rsidRPr="006E7AAC" w:rsidRDefault="00A105E2" w:rsidP="00B1247D">
            <w:pPr>
              <w:rPr>
                <w:sz w:val="12"/>
                <w:szCs w:val="12"/>
              </w:rPr>
            </w:pPr>
          </w:p>
          <w:p w14:paraId="73A84584" w14:textId="4CAAA035" w:rsidR="00B1247D" w:rsidRPr="00A105E2" w:rsidRDefault="00B1247D" w:rsidP="00A105E2">
            <w:pPr>
              <w:jc w:val="center"/>
            </w:pPr>
            <w:r w:rsidRPr="00A105E2">
              <w:t>SOCMA has prepared this publication and it is disseminated for educational and informational purposes only. It should not take the place of appropriate technical or legal advice related to company specific circumstances. Companies have an independent obligation to ascertain that their actions and practices are sound. Although every effort has been made to provide accurate and up-to-date information, SOCMA does not assume any liability of any kind whatsoever for the use of or reliance upon the information contained in this publication.</w:t>
            </w:r>
          </w:p>
          <w:p w14:paraId="6FE0431F" w14:textId="4E502500" w:rsidR="00B1247D" w:rsidRPr="00B1247D" w:rsidRDefault="00B1247D" w:rsidP="00B1247D">
            <w:pPr>
              <w:rPr>
                <w:sz w:val="24"/>
                <w:szCs w:val="24"/>
              </w:rPr>
            </w:pPr>
          </w:p>
        </w:tc>
      </w:tr>
      <w:tr w:rsidR="00B1247D" w14:paraId="1EFEB4DC" w14:textId="77777777" w:rsidTr="00A105E2">
        <w:tc>
          <w:tcPr>
            <w:tcW w:w="9350" w:type="dxa"/>
            <w:tcBorders>
              <w:top w:val="double" w:sz="6" w:space="0" w:color="FF0000"/>
              <w:left w:val="nil"/>
              <w:bottom w:val="nil"/>
              <w:right w:val="nil"/>
            </w:tcBorders>
            <w:shd w:val="clear" w:color="auto" w:fill="FFFFFF" w:themeFill="background1"/>
          </w:tcPr>
          <w:p w14:paraId="742DE031" w14:textId="77777777" w:rsidR="00B1247D" w:rsidRPr="003522EF" w:rsidRDefault="00B1247D" w:rsidP="003522EF">
            <w:pPr>
              <w:jc w:val="center"/>
              <w:rPr>
                <w:b/>
                <w:bCs/>
                <w:sz w:val="18"/>
                <w:szCs w:val="18"/>
              </w:rPr>
            </w:pPr>
          </w:p>
        </w:tc>
      </w:tr>
      <w:tr w:rsidR="003522EF" w14:paraId="748BB8A7" w14:textId="77777777" w:rsidTr="00B1247D">
        <w:tc>
          <w:tcPr>
            <w:tcW w:w="9350" w:type="dxa"/>
            <w:tcBorders>
              <w:top w:val="nil"/>
            </w:tcBorders>
            <w:shd w:val="clear" w:color="auto" w:fill="002060"/>
          </w:tcPr>
          <w:p w14:paraId="7FA64C27" w14:textId="77777777" w:rsidR="00B1247D" w:rsidRPr="003522EF" w:rsidRDefault="00B1247D" w:rsidP="003522EF">
            <w:pPr>
              <w:jc w:val="center"/>
              <w:rPr>
                <w:b/>
                <w:bCs/>
                <w:sz w:val="18"/>
                <w:szCs w:val="18"/>
              </w:rPr>
            </w:pPr>
          </w:p>
          <w:p w14:paraId="7524CD3A" w14:textId="08E30215" w:rsidR="003522EF" w:rsidRDefault="003522EF" w:rsidP="003522EF">
            <w:pPr>
              <w:jc w:val="center"/>
              <w:rPr>
                <w:b/>
                <w:bCs/>
                <w:sz w:val="28"/>
                <w:szCs w:val="28"/>
              </w:rPr>
            </w:pPr>
            <w:r w:rsidRPr="003522EF">
              <w:rPr>
                <w:b/>
                <w:bCs/>
                <w:sz w:val="28"/>
                <w:szCs w:val="28"/>
              </w:rPr>
              <w:t>Instructions</w:t>
            </w:r>
          </w:p>
          <w:p w14:paraId="382F47D2" w14:textId="77777777" w:rsidR="003522EF" w:rsidRPr="006E7AAC" w:rsidRDefault="003522EF" w:rsidP="003522EF">
            <w:pPr>
              <w:jc w:val="center"/>
              <w:rPr>
                <w:b/>
                <w:bCs/>
                <w:sz w:val="10"/>
                <w:szCs w:val="10"/>
              </w:rPr>
            </w:pPr>
          </w:p>
          <w:p w14:paraId="228C2F04" w14:textId="1FE22CAC" w:rsidR="003522EF" w:rsidRDefault="003522EF" w:rsidP="003522EF">
            <w:r>
              <w:t>The below email template contains the framework for the information that must be provided to satisfy your notification requirements under the ETS.</w:t>
            </w:r>
          </w:p>
          <w:p w14:paraId="488C7B99" w14:textId="77777777" w:rsidR="003522EF" w:rsidRDefault="003522EF" w:rsidP="003522EF"/>
          <w:p w14:paraId="76F46A57" w14:textId="506E803C" w:rsidR="003522EF" w:rsidRDefault="003522EF" w:rsidP="003522EF">
            <w:r>
              <w:t>Text in black is universal and does not need to be customized further.</w:t>
            </w:r>
          </w:p>
          <w:p w14:paraId="3A3A6DF7" w14:textId="77777777" w:rsidR="003522EF" w:rsidRDefault="003522EF" w:rsidP="003522EF"/>
          <w:p w14:paraId="19A08D29" w14:textId="6E997358" w:rsidR="003522EF" w:rsidRDefault="003522EF" w:rsidP="003522EF">
            <w:r>
              <w:t xml:space="preserve">Text </w:t>
            </w:r>
            <w:r w:rsidRPr="00351EBA">
              <w:rPr>
                <w:i/>
                <w:iCs/>
                <w:color w:val="FF0000"/>
              </w:rPr>
              <w:t>italicized and in red</w:t>
            </w:r>
            <w:r w:rsidRPr="00351EBA">
              <w:rPr>
                <w:color w:val="FF0000"/>
              </w:rPr>
              <w:t xml:space="preserve"> </w:t>
            </w:r>
            <w:r>
              <w:t>will need to be customized to your company and its specific policies and procedures.</w:t>
            </w:r>
          </w:p>
          <w:p w14:paraId="0FEAF646" w14:textId="77777777" w:rsidR="003522EF" w:rsidRDefault="003522EF" w:rsidP="003522EF"/>
          <w:p w14:paraId="3F54139E" w14:textId="43F6A648" w:rsidR="003522EF" w:rsidRDefault="003522EF" w:rsidP="003522EF">
            <w:r>
              <w:t xml:space="preserve">Please attach a copy of your </w:t>
            </w:r>
            <w:r w:rsidRPr="00351EBA">
              <w:t>mandatory vaccine policy OR a vaccine, testing and face covering policy</w:t>
            </w:r>
            <w:r>
              <w:t xml:space="preserve"> </w:t>
            </w:r>
            <w:r w:rsidRPr="00351EBA">
              <w:t>to this email communication.</w:t>
            </w:r>
          </w:p>
          <w:p w14:paraId="6856039A" w14:textId="77777777" w:rsidR="003522EF" w:rsidRDefault="003522EF" w:rsidP="003522EF"/>
          <w:p w14:paraId="1781774E" w14:textId="77777777" w:rsidR="003522EF" w:rsidRDefault="003522EF" w:rsidP="003522EF">
            <w:pPr>
              <w:rPr>
                <w:color w:val="403F42"/>
              </w:rPr>
            </w:pPr>
            <w:r>
              <w:t xml:space="preserve">Do not hesitate to reach out to SOCMA’s Government Relations team if you have additional questions or concerns: Robert Helminiak at </w:t>
            </w:r>
            <w:hyperlink r:id="rId7" w:tgtFrame="_blank" w:history="1">
              <w:r>
                <w:rPr>
                  <w:rStyle w:val="Hyperlink"/>
                  <w:b/>
                  <w:bCs/>
                  <w:color w:val="0078C1"/>
                </w:rPr>
                <w:t>rhelminiak@socma.org</w:t>
              </w:r>
            </w:hyperlink>
            <w:r>
              <w:rPr>
                <w:color w:val="403F42"/>
              </w:rPr>
              <w:t xml:space="preserve"> </w:t>
            </w:r>
            <w:r w:rsidRPr="003522EF">
              <w:rPr>
                <w:color w:val="FFFFFF" w:themeColor="background1"/>
              </w:rPr>
              <w:t xml:space="preserve">or Genevieve Strand at </w:t>
            </w:r>
            <w:hyperlink r:id="rId8" w:history="1">
              <w:r>
                <w:rPr>
                  <w:rStyle w:val="Hyperlink"/>
                </w:rPr>
                <w:t>gstrand@socma.org</w:t>
              </w:r>
            </w:hyperlink>
            <w:r>
              <w:rPr>
                <w:color w:val="403F42"/>
              </w:rPr>
              <w:t xml:space="preserve">. </w:t>
            </w:r>
          </w:p>
          <w:p w14:paraId="5E977C63" w14:textId="77777777" w:rsidR="003522EF" w:rsidRDefault="003522EF" w:rsidP="00351EBA"/>
        </w:tc>
      </w:tr>
    </w:tbl>
    <w:p w14:paraId="2F882EE5" w14:textId="77777777" w:rsidR="003522EF" w:rsidRDefault="003522EF"/>
    <w:p w14:paraId="3885B26A" w14:textId="4FEF6F28" w:rsidR="00D35C7E" w:rsidRDefault="00062562">
      <w:r>
        <w:t>Dear employees,</w:t>
      </w:r>
    </w:p>
    <w:p w14:paraId="3BFA8845" w14:textId="36BA105D" w:rsidR="00062562" w:rsidRDefault="00062562" w:rsidP="00062562">
      <w:r>
        <w:t xml:space="preserve">As you are likely aware, </w:t>
      </w:r>
      <w:r w:rsidR="003D3E7F">
        <w:t>o</w:t>
      </w:r>
      <w:r w:rsidRPr="00062562">
        <w:t>n September 9, the White House issued an Executive Order</w:t>
      </w:r>
      <w:r>
        <w:t xml:space="preserve"> </w:t>
      </w:r>
      <w:r w:rsidRPr="00062562">
        <w:t>(EO) requiring companies with 100 or more employees to mandate vaccinations (with health and religious exemptions) or take weekly COVID-19 tests and wear masks.</w:t>
      </w:r>
      <w:r>
        <w:t xml:space="preserve"> </w:t>
      </w:r>
      <w:r w:rsidRPr="00062562">
        <w:t>The Occupational Safety and Health Administration (OSHA) has published an Emergency Temporary Standard (ETS) to implement this EO.</w:t>
      </w:r>
    </w:p>
    <w:p w14:paraId="0F1F16AC" w14:textId="0001AABD" w:rsidR="00062562" w:rsidRDefault="00062562" w:rsidP="00062562">
      <w:r>
        <w:t xml:space="preserve">This email is intended to review how </w:t>
      </w:r>
      <w:r w:rsidRPr="00062562">
        <w:rPr>
          <w:i/>
          <w:iCs/>
          <w:color w:val="FF0000"/>
        </w:rPr>
        <w:t>company name</w:t>
      </w:r>
      <w:r w:rsidRPr="00062562">
        <w:rPr>
          <w:color w:val="FF0000"/>
        </w:rPr>
        <w:t xml:space="preserve"> </w:t>
      </w:r>
      <w:r>
        <w:t>is implementing the ETS and to provide you with the necessary information for you to follow these policies and procedures.</w:t>
      </w:r>
    </w:p>
    <w:p w14:paraId="5AFFCF1A" w14:textId="1614297E" w:rsidR="00062562" w:rsidRDefault="00062562" w:rsidP="00062562">
      <w:pPr>
        <w:rPr>
          <w:b/>
          <w:bCs/>
        </w:rPr>
      </w:pPr>
      <w:r w:rsidRPr="00062562">
        <w:rPr>
          <w:b/>
          <w:bCs/>
        </w:rPr>
        <w:t xml:space="preserve">How </w:t>
      </w:r>
      <w:r w:rsidRPr="00062562">
        <w:rPr>
          <w:b/>
          <w:bCs/>
          <w:i/>
          <w:iCs/>
          <w:color w:val="FF0000"/>
        </w:rPr>
        <w:t>Company Name</w:t>
      </w:r>
      <w:r w:rsidRPr="00062562">
        <w:rPr>
          <w:b/>
          <w:bCs/>
          <w:color w:val="FF0000"/>
        </w:rPr>
        <w:t xml:space="preserve"> </w:t>
      </w:r>
      <w:r w:rsidRPr="00062562">
        <w:rPr>
          <w:b/>
          <w:bCs/>
        </w:rPr>
        <w:t>is Implementing the ETS</w:t>
      </w:r>
    </w:p>
    <w:p w14:paraId="1E8885DE" w14:textId="0D21F629" w:rsidR="00062562" w:rsidRDefault="00062562" w:rsidP="00062562">
      <w:r w:rsidRPr="00062562">
        <w:t xml:space="preserve">To implement this ETS, </w:t>
      </w:r>
      <w:r w:rsidRPr="00062562">
        <w:rPr>
          <w:i/>
          <w:iCs/>
          <w:color w:val="FF0000"/>
        </w:rPr>
        <w:t>company name</w:t>
      </w:r>
      <w:r w:rsidRPr="00062562">
        <w:rPr>
          <w:color w:val="FF0000"/>
        </w:rPr>
        <w:t xml:space="preserve"> </w:t>
      </w:r>
      <w:r w:rsidRPr="00062562">
        <w:t xml:space="preserve">has developed </w:t>
      </w:r>
      <w:r w:rsidR="003E552B" w:rsidRPr="003E552B">
        <w:rPr>
          <w:color w:val="FF0000"/>
        </w:rPr>
        <w:t xml:space="preserve">a </w:t>
      </w:r>
      <w:r w:rsidR="003E552B" w:rsidRPr="00E05174">
        <w:rPr>
          <w:i/>
          <w:iCs/>
          <w:color w:val="FF0000"/>
        </w:rPr>
        <w:t xml:space="preserve">mandatory vaccine policy </w:t>
      </w:r>
      <w:r w:rsidR="003E552B" w:rsidRPr="00E05174">
        <w:rPr>
          <w:i/>
          <w:iCs/>
          <w:color w:val="FF0000"/>
          <w:u w:val="single"/>
        </w:rPr>
        <w:t>OR</w:t>
      </w:r>
      <w:r w:rsidR="003E552B" w:rsidRPr="00E05174">
        <w:rPr>
          <w:i/>
          <w:iCs/>
          <w:color w:val="FF0000"/>
        </w:rPr>
        <w:t xml:space="preserve"> a vaccine, testing and face covering policy</w:t>
      </w:r>
      <w:r w:rsidRPr="00062562">
        <w:t>. Attached please find a copy of this policy</w:t>
      </w:r>
      <w:r w:rsidR="00573FC1">
        <w:t xml:space="preserve">. To review our implementation of the ETS and our </w:t>
      </w:r>
      <w:r w:rsidR="00573FC1" w:rsidRPr="00573FC1">
        <w:rPr>
          <w:i/>
          <w:iCs/>
          <w:color w:val="FF0000"/>
        </w:rPr>
        <w:t>mandatory vaccine policy OR a vaccine, testing and face covering policy</w:t>
      </w:r>
      <w:r w:rsidR="00573FC1">
        <w:rPr>
          <w:i/>
          <w:iCs/>
          <w:color w:val="FF0000"/>
        </w:rPr>
        <w:t xml:space="preserve">, we will be hosting a live/online training session at date/time. This training is mandatory </w:t>
      </w:r>
      <w:r w:rsidR="00B00C51">
        <w:rPr>
          <w:i/>
          <w:iCs/>
          <w:color w:val="FF0000"/>
        </w:rPr>
        <w:t>for all employees.</w:t>
      </w:r>
    </w:p>
    <w:p w14:paraId="172E02E4" w14:textId="77777777" w:rsidR="00B00C51" w:rsidRPr="00573FC1" w:rsidRDefault="00B00C51" w:rsidP="00B00C51">
      <w:pPr>
        <w:rPr>
          <w:b/>
          <w:bCs/>
        </w:rPr>
      </w:pPr>
      <w:r w:rsidRPr="00573FC1">
        <w:rPr>
          <w:b/>
          <w:bCs/>
        </w:rPr>
        <w:t>Deadline to Provide Vaccination Records --</w:t>
      </w:r>
      <w:r w:rsidRPr="00573FC1">
        <w:rPr>
          <w:b/>
          <w:bCs/>
          <w:i/>
          <w:iCs/>
          <w:color w:val="FF0000"/>
        </w:rPr>
        <w:t xml:space="preserve"> Date</w:t>
      </w:r>
    </w:p>
    <w:p w14:paraId="01A58937" w14:textId="719FA1E2" w:rsidR="003E552B" w:rsidRPr="003E552B" w:rsidRDefault="003E552B" w:rsidP="003E552B">
      <w:r w:rsidRPr="003E552B">
        <w:lastRenderedPageBreak/>
        <w:t xml:space="preserve">The ETS requires </w:t>
      </w:r>
      <w:r w:rsidRPr="00062562">
        <w:rPr>
          <w:i/>
          <w:iCs/>
          <w:color w:val="FF0000"/>
        </w:rPr>
        <w:t>company name</w:t>
      </w:r>
      <w:r w:rsidRPr="00062562">
        <w:rPr>
          <w:color w:val="FF0000"/>
        </w:rPr>
        <w:t xml:space="preserve"> </w:t>
      </w:r>
      <w:r w:rsidRPr="003E552B">
        <w:t xml:space="preserve">to determine the vaccination status of each of our employees. </w:t>
      </w:r>
      <w:r w:rsidR="00491918">
        <w:t>All employees</w:t>
      </w:r>
      <w:r w:rsidRPr="003E552B">
        <w:t xml:space="preserve"> must provide vaccination status, including whether they are:</w:t>
      </w:r>
    </w:p>
    <w:p w14:paraId="468DB735" w14:textId="77777777" w:rsidR="003E552B" w:rsidRPr="003E552B" w:rsidRDefault="003E552B" w:rsidP="003E552B">
      <w:pPr>
        <w:pStyle w:val="ListParagraph"/>
        <w:numPr>
          <w:ilvl w:val="0"/>
          <w:numId w:val="1"/>
        </w:numPr>
      </w:pPr>
      <w:r w:rsidRPr="003E552B">
        <w:t>Fully vaccinated</w:t>
      </w:r>
    </w:p>
    <w:p w14:paraId="45BA36E2" w14:textId="77777777" w:rsidR="003E552B" w:rsidRPr="003E552B" w:rsidRDefault="003E552B" w:rsidP="003E552B">
      <w:pPr>
        <w:pStyle w:val="ListParagraph"/>
        <w:numPr>
          <w:ilvl w:val="0"/>
          <w:numId w:val="1"/>
        </w:numPr>
      </w:pPr>
      <w:r w:rsidRPr="003E552B">
        <w:t xml:space="preserve">Partially vaccinated. </w:t>
      </w:r>
    </w:p>
    <w:p w14:paraId="13D85E1C" w14:textId="77777777" w:rsidR="003E552B" w:rsidRPr="003E552B" w:rsidRDefault="003E552B" w:rsidP="003E552B">
      <w:pPr>
        <w:pStyle w:val="ListParagraph"/>
        <w:numPr>
          <w:ilvl w:val="0"/>
          <w:numId w:val="1"/>
        </w:numPr>
      </w:pPr>
      <w:r w:rsidRPr="003E552B">
        <w:t>Unvaccinated because of medical or religious reasons.</w:t>
      </w:r>
    </w:p>
    <w:p w14:paraId="7DD820D4" w14:textId="33595524" w:rsidR="003E552B" w:rsidRDefault="003E552B" w:rsidP="003E552B">
      <w:pPr>
        <w:pStyle w:val="ListParagraph"/>
        <w:numPr>
          <w:ilvl w:val="0"/>
          <w:numId w:val="1"/>
        </w:numPr>
      </w:pPr>
      <w:r w:rsidRPr="003E552B">
        <w:t>Unvaccinated</w:t>
      </w:r>
    </w:p>
    <w:p w14:paraId="1D12646B" w14:textId="2C53C088" w:rsidR="0088620C" w:rsidRPr="0088620C" w:rsidRDefault="0088620C" w:rsidP="0088620C">
      <w:r>
        <w:t xml:space="preserve">All </w:t>
      </w:r>
      <w:r w:rsidR="00EE324F">
        <w:t xml:space="preserve">vaccinated </w:t>
      </w:r>
      <w:r>
        <w:t xml:space="preserve">employees must provide an acceptable proof of vaccination to </w:t>
      </w:r>
      <w:r w:rsidRPr="0088620C">
        <w:rPr>
          <w:i/>
          <w:iCs/>
          <w:color w:val="FF0000"/>
        </w:rPr>
        <w:t>name of employee or department</w:t>
      </w:r>
      <w:r w:rsidRPr="0088620C">
        <w:rPr>
          <w:color w:val="FF0000"/>
        </w:rPr>
        <w:t xml:space="preserve"> </w:t>
      </w:r>
      <w:r>
        <w:t xml:space="preserve">no later than </w:t>
      </w:r>
      <w:r w:rsidRPr="0088620C">
        <w:rPr>
          <w:i/>
          <w:iCs/>
          <w:color w:val="FF0000"/>
        </w:rPr>
        <w:t>date</w:t>
      </w:r>
      <w:r>
        <w:t xml:space="preserve">. </w:t>
      </w:r>
      <w:r w:rsidRPr="0088620C">
        <w:t xml:space="preserve">Acceptable proof of vaccination status: </w:t>
      </w:r>
    </w:p>
    <w:p w14:paraId="65A32074" w14:textId="77777777" w:rsidR="0088620C" w:rsidRPr="0088620C" w:rsidRDefault="0088620C" w:rsidP="0088620C">
      <w:pPr>
        <w:pStyle w:val="ListParagraph"/>
        <w:numPr>
          <w:ilvl w:val="0"/>
          <w:numId w:val="2"/>
        </w:numPr>
      </w:pPr>
      <w:r w:rsidRPr="0088620C">
        <w:t>The record of immunization from a health care provider or pharmacy.</w:t>
      </w:r>
    </w:p>
    <w:p w14:paraId="3E20FC33" w14:textId="77777777" w:rsidR="0088620C" w:rsidRPr="0088620C" w:rsidRDefault="0088620C" w:rsidP="0088620C">
      <w:pPr>
        <w:pStyle w:val="ListParagraph"/>
        <w:numPr>
          <w:ilvl w:val="0"/>
          <w:numId w:val="2"/>
        </w:numPr>
      </w:pPr>
      <w:r w:rsidRPr="0088620C">
        <w:t>A copy of the COVID–19 Vaccination Record Card.</w:t>
      </w:r>
    </w:p>
    <w:p w14:paraId="12780640" w14:textId="77777777" w:rsidR="0088620C" w:rsidRPr="0088620C" w:rsidRDefault="0088620C" w:rsidP="0088620C">
      <w:pPr>
        <w:pStyle w:val="ListParagraph"/>
        <w:numPr>
          <w:ilvl w:val="0"/>
          <w:numId w:val="2"/>
        </w:numPr>
      </w:pPr>
      <w:r w:rsidRPr="0088620C">
        <w:t>A copy of medical records documenting the vaccination.</w:t>
      </w:r>
    </w:p>
    <w:p w14:paraId="219470EF" w14:textId="77777777" w:rsidR="0088620C" w:rsidRPr="0088620C" w:rsidRDefault="0088620C" w:rsidP="0088620C">
      <w:pPr>
        <w:pStyle w:val="ListParagraph"/>
        <w:numPr>
          <w:ilvl w:val="0"/>
          <w:numId w:val="2"/>
        </w:numPr>
      </w:pPr>
      <w:r w:rsidRPr="0088620C">
        <w:t xml:space="preserve">A copy of immunization records from a public health, state, or tribal immunization information system. </w:t>
      </w:r>
    </w:p>
    <w:p w14:paraId="56BD56B1" w14:textId="77777777" w:rsidR="0088620C" w:rsidRPr="0088620C" w:rsidRDefault="0088620C" w:rsidP="0088620C">
      <w:pPr>
        <w:pStyle w:val="ListParagraph"/>
        <w:numPr>
          <w:ilvl w:val="0"/>
          <w:numId w:val="2"/>
        </w:numPr>
      </w:pPr>
      <w:r w:rsidRPr="0088620C">
        <w:t>A copy of any other official documentation that contains the type of vaccine and the date(s) administered, the name of the health care professional(s) or clinic site(s) administering the vaccine(s).</w:t>
      </w:r>
    </w:p>
    <w:p w14:paraId="5DB14979" w14:textId="38B3A449" w:rsidR="003E552B" w:rsidRDefault="0088620C" w:rsidP="0088620C">
      <w:pPr>
        <w:pStyle w:val="ListParagraph"/>
        <w:numPr>
          <w:ilvl w:val="0"/>
          <w:numId w:val="2"/>
        </w:numPr>
      </w:pPr>
      <w:r w:rsidRPr="0088620C">
        <w:t>In the case of a lost or damaged proof of vaccination status, a signed and dated statement by the employee.</w:t>
      </w:r>
    </w:p>
    <w:p w14:paraId="6A294A54" w14:textId="133C00F9" w:rsidR="00062562" w:rsidRDefault="00E205F5" w:rsidP="00E205F5">
      <w:r w:rsidRPr="00E205F5">
        <w:t xml:space="preserve">Employees are entitled to request a copy of the vaccine records that </w:t>
      </w:r>
      <w:r w:rsidRPr="00E205F5">
        <w:rPr>
          <w:i/>
          <w:iCs/>
          <w:color w:val="FF0000"/>
        </w:rPr>
        <w:t>company name</w:t>
      </w:r>
      <w:r w:rsidRPr="00E205F5">
        <w:rPr>
          <w:color w:val="FF0000"/>
        </w:rPr>
        <w:t xml:space="preserve"> </w:t>
      </w:r>
      <w:r w:rsidRPr="00E205F5">
        <w:t xml:space="preserve">is maintaining </w:t>
      </w:r>
      <w:proofErr w:type="gramStart"/>
      <w:r w:rsidRPr="00E205F5">
        <w:t>in order to</w:t>
      </w:r>
      <w:proofErr w:type="gramEnd"/>
      <w:r w:rsidRPr="00E205F5">
        <w:t xml:space="preserve"> comply with this ETS. To request a copy of their records, employees should </w:t>
      </w:r>
      <w:r w:rsidRPr="00E205F5">
        <w:rPr>
          <w:i/>
          <w:iCs/>
          <w:color w:val="FF0000"/>
        </w:rPr>
        <w:t>(describe the procedures to be used for requesting records)</w:t>
      </w:r>
      <w:r w:rsidRPr="00E205F5">
        <w:t>.</w:t>
      </w:r>
    </w:p>
    <w:p w14:paraId="7FFE0427" w14:textId="0AD09856" w:rsidR="002F5758" w:rsidRDefault="003A48E8" w:rsidP="00A240BC">
      <w:pPr>
        <w:spacing w:after="0"/>
        <w:rPr>
          <w:b/>
          <w:bCs/>
          <w:i/>
          <w:iCs/>
          <w:color w:val="FF0000"/>
        </w:rPr>
      </w:pPr>
      <w:r w:rsidRPr="003A48E8">
        <w:rPr>
          <w:b/>
          <w:bCs/>
        </w:rPr>
        <w:t>Weekly COVID Testing – Effective</w:t>
      </w:r>
      <w:r>
        <w:t xml:space="preserve"> </w:t>
      </w:r>
      <w:r w:rsidRPr="00573FC1">
        <w:rPr>
          <w:b/>
          <w:bCs/>
          <w:i/>
          <w:iCs/>
          <w:color w:val="FF0000"/>
        </w:rPr>
        <w:t>Date</w:t>
      </w:r>
      <w:r w:rsidR="009653B0">
        <w:rPr>
          <w:b/>
          <w:bCs/>
          <w:i/>
          <w:iCs/>
          <w:color w:val="FF0000"/>
        </w:rPr>
        <w:t xml:space="preserve"> </w:t>
      </w:r>
    </w:p>
    <w:p w14:paraId="7F70C6D9" w14:textId="62162135" w:rsidR="00B87FB0" w:rsidRDefault="00B87FB0" w:rsidP="00E205F5">
      <w:pPr>
        <w:rPr>
          <w:b/>
          <w:bCs/>
          <w:i/>
          <w:iCs/>
          <w:color w:val="FF0000"/>
        </w:rPr>
      </w:pPr>
      <w:r>
        <w:rPr>
          <w:b/>
          <w:bCs/>
          <w:i/>
          <w:iCs/>
          <w:color w:val="FF0000"/>
        </w:rPr>
        <w:t xml:space="preserve">(Remove this section if your company is mandating vaccination and is </w:t>
      </w:r>
      <w:r w:rsidR="00A240BC">
        <w:rPr>
          <w:b/>
          <w:bCs/>
          <w:i/>
          <w:iCs/>
          <w:color w:val="FF0000"/>
        </w:rPr>
        <w:t>not offering the option for weekly employee testing)</w:t>
      </w:r>
    </w:p>
    <w:p w14:paraId="0D17BB9E" w14:textId="1A5AE14B" w:rsidR="009653B0" w:rsidRPr="00A240BC" w:rsidRDefault="003A48E8" w:rsidP="009653B0">
      <w:pPr>
        <w:rPr>
          <w:i/>
          <w:iCs/>
          <w:color w:val="FF0000"/>
        </w:rPr>
      </w:pPr>
      <w:r>
        <w:t xml:space="preserve">Beginning date, company name will require a negative COVID-19 test </w:t>
      </w:r>
      <w:r w:rsidR="00A370B7">
        <w:t xml:space="preserve">each week. </w:t>
      </w:r>
      <w:r w:rsidR="00A240BC" w:rsidRPr="00A240BC">
        <w:rPr>
          <w:i/>
          <w:iCs/>
          <w:color w:val="FF0000"/>
        </w:rPr>
        <w:t>Describe your testing protocols or attach a copy for employees to review.</w:t>
      </w:r>
    </w:p>
    <w:p w14:paraId="5E3A4B6F" w14:textId="77777777" w:rsidR="009653B0" w:rsidRPr="009653B0" w:rsidRDefault="009653B0" w:rsidP="009653B0">
      <w:pPr>
        <w:rPr>
          <w:i/>
          <w:iCs/>
          <w:color w:val="FF0000"/>
        </w:rPr>
      </w:pPr>
      <w:r w:rsidRPr="009653B0">
        <w:rPr>
          <w:i/>
          <w:iCs/>
          <w:color w:val="FF0000"/>
        </w:rPr>
        <w:t>From the ETS:</w:t>
      </w:r>
    </w:p>
    <w:p w14:paraId="6C6F1006" w14:textId="567EEC41" w:rsidR="009653B0" w:rsidRPr="009653B0" w:rsidRDefault="009653B0" w:rsidP="009653B0">
      <w:pPr>
        <w:pStyle w:val="ListParagraph"/>
        <w:numPr>
          <w:ilvl w:val="0"/>
          <w:numId w:val="10"/>
        </w:numPr>
        <w:rPr>
          <w:i/>
          <w:iCs/>
          <w:color w:val="FF0000"/>
        </w:rPr>
      </w:pPr>
      <w:r w:rsidRPr="009653B0">
        <w:rPr>
          <w:i/>
          <w:iCs/>
          <w:color w:val="FF0000"/>
        </w:rPr>
        <w:t>Employers must ensure that each employee who is not fully vaccinated and reports at least once every seven days to a workplace where other individuals (e.g., coworkers, customers) are present:</w:t>
      </w:r>
    </w:p>
    <w:p w14:paraId="7BC6A9DE" w14:textId="77777777" w:rsidR="009653B0" w:rsidRPr="009653B0" w:rsidRDefault="009653B0" w:rsidP="009653B0">
      <w:pPr>
        <w:pStyle w:val="ListParagraph"/>
        <w:numPr>
          <w:ilvl w:val="0"/>
          <w:numId w:val="10"/>
        </w:numPr>
        <w:rPr>
          <w:i/>
          <w:iCs/>
          <w:color w:val="FF0000"/>
        </w:rPr>
      </w:pPr>
      <w:r w:rsidRPr="009653B0">
        <w:rPr>
          <w:i/>
          <w:iCs/>
          <w:color w:val="FF0000"/>
        </w:rPr>
        <w:t xml:space="preserve">Is tested for COVID–19 at least once every seven </w:t>
      </w:r>
      <w:proofErr w:type="gramStart"/>
      <w:r w:rsidRPr="009653B0">
        <w:rPr>
          <w:i/>
          <w:iCs/>
          <w:color w:val="FF0000"/>
        </w:rPr>
        <w:t>days;</w:t>
      </w:r>
      <w:proofErr w:type="gramEnd"/>
    </w:p>
    <w:p w14:paraId="0F6F94E0" w14:textId="77777777" w:rsidR="009653B0" w:rsidRPr="009653B0" w:rsidRDefault="009653B0" w:rsidP="009653B0">
      <w:pPr>
        <w:pStyle w:val="ListParagraph"/>
        <w:numPr>
          <w:ilvl w:val="0"/>
          <w:numId w:val="10"/>
        </w:numPr>
        <w:rPr>
          <w:i/>
          <w:iCs/>
          <w:color w:val="FF0000"/>
        </w:rPr>
      </w:pPr>
      <w:r w:rsidRPr="009653B0">
        <w:rPr>
          <w:i/>
          <w:iCs/>
          <w:color w:val="FF0000"/>
        </w:rPr>
        <w:t xml:space="preserve">and provides documentation of the most recent COVID–19 test result to the employer no later than the 7th day following the date on which the employee last provided a test result. </w:t>
      </w:r>
    </w:p>
    <w:p w14:paraId="27B44A67" w14:textId="46AF0627" w:rsidR="009653B0" w:rsidRPr="009653B0" w:rsidRDefault="009653B0" w:rsidP="009653B0">
      <w:pPr>
        <w:pStyle w:val="ListParagraph"/>
        <w:numPr>
          <w:ilvl w:val="0"/>
          <w:numId w:val="10"/>
        </w:numPr>
        <w:rPr>
          <w:i/>
          <w:iCs/>
          <w:color w:val="FF0000"/>
        </w:rPr>
      </w:pPr>
      <w:r w:rsidRPr="009653B0">
        <w:rPr>
          <w:i/>
          <w:iCs/>
          <w:color w:val="FF0000"/>
        </w:rPr>
        <w:t>Employers must ensure these unvaccinated employees are tested at least once every seven calendar days, regardless of their work schedule.</w:t>
      </w:r>
    </w:p>
    <w:p w14:paraId="1952E1F1" w14:textId="77777777" w:rsidR="00B00C51" w:rsidRPr="00B00C51" w:rsidRDefault="00B00C51" w:rsidP="00B00C51">
      <w:pPr>
        <w:rPr>
          <w:b/>
          <w:bCs/>
        </w:rPr>
      </w:pPr>
      <w:r w:rsidRPr="00B00C51">
        <w:rPr>
          <w:b/>
          <w:bCs/>
        </w:rPr>
        <w:t xml:space="preserve">COVID-19 Vaccine Efficacy, Safety &amp; Benefits </w:t>
      </w:r>
    </w:p>
    <w:p w14:paraId="1BB29D17" w14:textId="549444AB" w:rsidR="00B00C51" w:rsidRPr="00062562" w:rsidRDefault="00B00C51" w:rsidP="00B00C51">
      <w:r w:rsidRPr="00B00C51">
        <w:lastRenderedPageBreak/>
        <w:t>According to the Center for Disease Control (CDC)</w:t>
      </w:r>
      <w:r>
        <w:t xml:space="preserve">. For more </w:t>
      </w:r>
      <w:r w:rsidR="009B4F35">
        <w:t>information,</w:t>
      </w:r>
      <w:r>
        <w:t xml:space="preserve"> please review the following </w:t>
      </w:r>
      <w:r w:rsidRPr="00B00C51">
        <w:t xml:space="preserve">CDC publication: </w:t>
      </w:r>
      <w:hyperlink r:id="rId9" w:history="1">
        <w:r w:rsidRPr="00063E5B">
          <w:rPr>
            <w:rStyle w:val="Hyperlink"/>
          </w:rPr>
          <w:t>https://www.cdc.gov/coronavirus/2019-ncov/vaccines/keythingstoknow.html</w:t>
        </w:r>
      </w:hyperlink>
      <w:r>
        <w:t xml:space="preserve">. </w:t>
      </w:r>
    </w:p>
    <w:p w14:paraId="6CEB0CB1" w14:textId="2E413A39" w:rsidR="00E205F5" w:rsidRPr="00E205F5" w:rsidRDefault="00E205F5" w:rsidP="00E205F5">
      <w:pPr>
        <w:rPr>
          <w:b/>
          <w:bCs/>
        </w:rPr>
      </w:pPr>
      <w:r w:rsidRPr="00E205F5">
        <w:rPr>
          <w:b/>
          <w:bCs/>
        </w:rPr>
        <w:t>Paid Leave and Time to Recover</w:t>
      </w:r>
    </w:p>
    <w:p w14:paraId="0F1D180C" w14:textId="5E521BF2" w:rsidR="00E205F5" w:rsidRPr="00E205F5" w:rsidRDefault="00E205F5" w:rsidP="00E205F5">
      <w:r w:rsidRPr="00E205F5">
        <w:t xml:space="preserve">The ETS requires </w:t>
      </w:r>
      <w:r w:rsidRPr="00E205F5">
        <w:rPr>
          <w:i/>
          <w:iCs/>
          <w:color w:val="FF0000"/>
        </w:rPr>
        <w:t>company name</w:t>
      </w:r>
      <w:r w:rsidRPr="00E205F5">
        <w:rPr>
          <w:color w:val="FF0000"/>
        </w:rPr>
        <w:t xml:space="preserve"> </w:t>
      </w:r>
      <w:r w:rsidRPr="00E205F5">
        <w:t>to provide employees up to 4 hours of paid time, including travel time, at your regular rate of pay to receive each of primary vaccine dose.</w:t>
      </w:r>
      <w:r>
        <w:t xml:space="preserve"> </w:t>
      </w:r>
      <w:r w:rsidRPr="00E205F5">
        <w:t>The ETS</w:t>
      </w:r>
      <w:r>
        <w:t xml:space="preserve"> also</w:t>
      </w:r>
      <w:r w:rsidRPr="00E205F5">
        <w:t xml:space="preserve"> requires </w:t>
      </w:r>
      <w:r w:rsidRPr="00E205F5">
        <w:rPr>
          <w:i/>
          <w:iCs/>
          <w:color w:val="FF0000"/>
        </w:rPr>
        <w:t>company name</w:t>
      </w:r>
      <w:r w:rsidRPr="00E205F5">
        <w:rPr>
          <w:color w:val="FF0000"/>
        </w:rPr>
        <w:t xml:space="preserve"> </w:t>
      </w:r>
      <w:r w:rsidR="00013EE5" w:rsidRPr="00013EE5">
        <w:t>to</w:t>
      </w:r>
      <w:r w:rsidR="00013EE5">
        <w:rPr>
          <w:color w:val="FF0000"/>
        </w:rPr>
        <w:t xml:space="preserve"> </w:t>
      </w:r>
      <w:r w:rsidRPr="00E205F5">
        <w:t>provide reasonable time and paid sick leave to recover from side effects experienced following any primary vaccination series dose.</w:t>
      </w:r>
      <w:r w:rsidRPr="00E205F5">
        <w:rPr>
          <w:i/>
          <w:iCs/>
          <w:color w:val="FF0000"/>
        </w:rPr>
        <w:t xml:space="preserve"> Describe company’s policy for “reasonable time and paid sick leave”</w:t>
      </w:r>
      <w:r w:rsidRPr="00E205F5">
        <w:rPr>
          <w:i/>
          <w:iCs/>
        </w:rPr>
        <w:t>.</w:t>
      </w:r>
    </w:p>
    <w:p w14:paraId="7D25856D" w14:textId="42DC2936" w:rsidR="002C067B" w:rsidRPr="002C067B" w:rsidRDefault="002C067B" w:rsidP="002C067B">
      <w:pPr>
        <w:rPr>
          <w:b/>
          <w:bCs/>
        </w:rPr>
      </w:pPr>
      <w:r w:rsidRPr="002C067B">
        <w:rPr>
          <w:b/>
          <w:bCs/>
        </w:rPr>
        <w:t xml:space="preserve">Protection from Employer Retaliation </w:t>
      </w:r>
    </w:p>
    <w:p w14:paraId="5DF064EC" w14:textId="2ED6AFDD" w:rsidR="002C067B" w:rsidRPr="002C067B" w:rsidRDefault="002C067B" w:rsidP="002C067B">
      <w:r w:rsidRPr="002C067B">
        <w:t xml:space="preserve">Employees are protected </w:t>
      </w:r>
      <w:r>
        <w:t>by laws (such as</w:t>
      </w:r>
      <w:r w:rsidRPr="002C067B">
        <w:t xml:space="preserve"> Section 11(c) of the OSH Act</w:t>
      </w:r>
      <w:r>
        <w:t xml:space="preserve"> and </w:t>
      </w:r>
      <w:r w:rsidRPr="002C067B">
        <w:t>Section 1904.35(b)(1)(iv)</w:t>
      </w:r>
      <w:r>
        <w:t>)</w:t>
      </w:r>
      <w:r w:rsidRPr="002C067B">
        <w:t xml:space="preserve"> from retaliation for engaging in activities protected by OSHA statute or regulation. </w:t>
      </w:r>
    </w:p>
    <w:p w14:paraId="6A5C92B0" w14:textId="77777777" w:rsidR="002C067B" w:rsidRPr="002C067B" w:rsidRDefault="002C067B" w:rsidP="002C067B">
      <w:r w:rsidRPr="002C067B">
        <w:t>You are protected from:</w:t>
      </w:r>
    </w:p>
    <w:p w14:paraId="7C746BC9" w14:textId="77777777" w:rsidR="002C067B" w:rsidRPr="002C067B" w:rsidRDefault="002C067B" w:rsidP="002C067B">
      <w:pPr>
        <w:pStyle w:val="ListParagraph"/>
        <w:numPr>
          <w:ilvl w:val="0"/>
          <w:numId w:val="4"/>
        </w:numPr>
      </w:pPr>
      <w:r w:rsidRPr="002C067B">
        <w:t>Discipline</w:t>
      </w:r>
    </w:p>
    <w:p w14:paraId="1957F5E8" w14:textId="77777777" w:rsidR="002C067B" w:rsidRPr="002C067B" w:rsidRDefault="002C067B" w:rsidP="002C067B">
      <w:pPr>
        <w:pStyle w:val="ListParagraph"/>
        <w:numPr>
          <w:ilvl w:val="0"/>
          <w:numId w:val="4"/>
        </w:numPr>
      </w:pPr>
      <w:r w:rsidRPr="002C067B">
        <w:t>Reducing your pay or hours</w:t>
      </w:r>
    </w:p>
    <w:p w14:paraId="5E8190BC" w14:textId="77777777" w:rsidR="002C067B" w:rsidRPr="002C067B" w:rsidRDefault="002C067B" w:rsidP="002C067B">
      <w:pPr>
        <w:pStyle w:val="ListParagraph"/>
        <w:numPr>
          <w:ilvl w:val="0"/>
          <w:numId w:val="4"/>
        </w:numPr>
      </w:pPr>
      <w:r w:rsidRPr="002C067B">
        <w:t>Reassignment to a less desirable position</w:t>
      </w:r>
    </w:p>
    <w:p w14:paraId="2B9A52C4" w14:textId="77777777" w:rsidR="002C067B" w:rsidRPr="002C067B" w:rsidRDefault="002C067B" w:rsidP="002C067B">
      <w:pPr>
        <w:pStyle w:val="ListParagraph"/>
        <w:numPr>
          <w:ilvl w:val="0"/>
          <w:numId w:val="4"/>
        </w:numPr>
      </w:pPr>
      <w:r w:rsidRPr="002C067B">
        <w:t>Denying overtime or promotion</w:t>
      </w:r>
    </w:p>
    <w:p w14:paraId="5A65F434" w14:textId="77777777" w:rsidR="002C067B" w:rsidRPr="002C067B" w:rsidRDefault="002C067B" w:rsidP="002C067B">
      <w:pPr>
        <w:pStyle w:val="ListParagraph"/>
        <w:numPr>
          <w:ilvl w:val="0"/>
          <w:numId w:val="4"/>
        </w:numPr>
      </w:pPr>
      <w:r w:rsidRPr="002C067B">
        <w:t>Intimidation or harassment</w:t>
      </w:r>
    </w:p>
    <w:p w14:paraId="51DD3941" w14:textId="0B8B8B28" w:rsidR="00E205F5" w:rsidRDefault="002C067B" w:rsidP="002C067B">
      <w:pPr>
        <w:pStyle w:val="ListParagraph"/>
        <w:numPr>
          <w:ilvl w:val="0"/>
          <w:numId w:val="4"/>
        </w:numPr>
      </w:pPr>
      <w:r w:rsidRPr="002C067B">
        <w:t>Any other action that would stop you from raising concerns about possible violation or engaging in other protected activity</w:t>
      </w:r>
    </w:p>
    <w:p w14:paraId="0366258C" w14:textId="4C3A4186" w:rsidR="00573FC1" w:rsidRPr="00573FC1" w:rsidRDefault="00573FC1" w:rsidP="00573FC1">
      <w:pPr>
        <w:rPr>
          <w:b/>
          <w:bCs/>
        </w:rPr>
      </w:pPr>
      <w:r w:rsidRPr="00573FC1">
        <w:rPr>
          <w:b/>
          <w:bCs/>
        </w:rPr>
        <w:t>Criminal Penalties - Knowingly Supplying False Statements or Documentation</w:t>
      </w:r>
    </w:p>
    <w:p w14:paraId="4AA1F51C" w14:textId="05CC0574" w:rsidR="00573FC1" w:rsidRDefault="00573FC1" w:rsidP="00573FC1">
      <w:r w:rsidRPr="00573FC1">
        <w:t>If you make false statements or submit false documents or records, you face criminal penalties, including fines or jail time.</w:t>
      </w:r>
    </w:p>
    <w:p w14:paraId="0157CBFE" w14:textId="77777777" w:rsidR="00573FC1" w:rsidRPr="00573FC1" w:rsidRDefault="00573FC1" w:rsidP="00573FC1">
      <w:r w:rsidRPr="00573FC1">
        <w:t xml:space="preserve">18 U.S.C. 1001 provides for fines of up to $250,000 or imprisonment of up to 5 years for any person who ‘‘in any matter within jurisdiction’’ of the executive branch of the U.S. Government ‘‘knowingly and willfully’’ engages in any of the following: </w:t>
      </w:r>
    </w:p>
    <w:p w14:paraId="20396DEC" w14:textId="77777777" w:rsidR="00573FC1" w:rsidRPr="00573FC1" w:rsidRDefault="00573FC1" w:rsidP="00573FC1">
      <w:pPr>
        <w:pStyle w:val="ListParagraph"/>
        <w:numPr>
          <w:ilvl w:val="0"/>
          <w:numId w:val="5"/>
        </w:numPr>
      </w:pPr>
      <w:r w:rsidRPr="00573FC1">
        <w:t xml:space="preserve">Falsifies, conceals, or covers up by any trick, scheme, or device a material </w:t>
      </w:r>
      <w:proofErr w:type="gramStart"/>
      <w:r w:rsidRPr="00573FC1">
        <w:t>fact;</w:t>
      </w:r>
      <w:proofErr w:type="gramEnd"/>
      <w:r w:rsidRPr="00573FC1">
        <w:t xml:space="preserve"> </w:t>
      </w:r>
    </w:p>
    <w:p w14:paraId="563AB560" w14:textId="77777777" w:rsidR="00573FC1" w:rsidRPr="00573FC1" w:rsidRDefault="00573FC1" w:rsidP="00573FC1">
      <w:pPr>
        <w:pStyle w:val="ListParagraph"/>
        <w:numPr>
          <w:ilvl w:val="0"/>
          <w:numId w:val="5"/>
        </w:numPr>
      </w:pPr>
      <w:r w:rsidRPr="00573FC1">
        <w:t xml:space="preserve">Makes any materially false, fictitious, or fraudulent statement or representation; or </w:t>
      </w:r>
    </w:p>
    <w:p w14:paraId="7EF9D47B" w14:textId="698ACC8A" w:rsidR="00573FC1" w:rsidRDefault="00573FC1" w:rsidP="00573FC1">
      <w:pPr>
        <w:pStyle w:val="ListParagraph"/>
        <w:numPr>
          <w:ilvl w:val="0"/>
          <w:numId w:val="5"/>
        </w:numPr>
      </w:pPr>
      <w:r w:rsidRPr="00573FC1">
        <w:t>Makes or uses any false writing or document knowing the same to contain any materially false, fictitious, or fraudulent statement or entry.</w:t>
      </w:r>
    </w:p>
    <w:p w14:paraId="2237AB06" w14:textId="77777777" w:rsidR="00573FC1" w:rsidRPr="00573FC1" w:rsidRDefault="00573FC1" w:rsidP="00573FC1">
      <w:r w:rsidRPr="00573FC1">
        <w:t xml:space="preserve">Section 17(g) of the OSH Act provides for fines up to $10,000, and imprisonment for not more than six months, or both, for anyone who: </w:t>
      </w:r>
    </w:p>
    <w:p w14:paraId="0CD5B00A" w14:textId="71F080A7" w:rsidR="00573FC1" w:rsidRDefault="00573FC1" w:rsidP="00573FC1">
      <w:pPr>
        <w:pStyle w:val="ListParagraph"/>
        <w:numPr>
          <w:ilvl w:val="0"/>
          <w:numId w:val="6"/>
        </w:numPr>
      </w:pPr>
      <w:r w:rsidRPr="00573FC1">
        <w:t>‘‘knowingly makes any false statement, representation, or certification’’ in any application, record, report, plan, or other document ‘‘filed or required to be maintained pursuant to this chapter.’’</w:t>
      </w:r>
    </w:p>
    <w:p w14:paraId="328471BE" w14:textId="051F0F90" w:rsidR="00573FC1" w:rsidRDefault="00573FC1" w:rsidP="00573FC1">
      <w:pPr>
        <w:rPr>
          <w:b/>
          <w:bCs/>
        </w:rPr>
      </w:pPr>
      <w:r w:rsidRPr="00573FC1">
        <w:rPr>
          <w:b/>
          <w:bCs/>
        </w:rPr>
        <w:t>Questions or Further Information</w:t>
      </w:r>
    </w:p>
    <w:p w14:paraId="13A4C655" w14:textId="7091565D" w:rsidR="00573FC1" w:rsidRPr="00B00C51" w:rsidRDefault="00B00C51" w:rsidP="00573FC1">
      <w:r w:rsidRPr="00B00C51">
        <w:t xml:space="preserve">For any questions, please contact </w:t>
      </w:r>
      <w:r w:rsidRPr="00B00C51">
        <w:rPr>
          <w:i/>
          <w:iCs/>
          <w:color w:val="FF0000"/>
        </w:rPr>
        <w:t>name/title/contact information</w:t>
      </w:r>
      <w:r>
        <w:t xml:space="preserve">. </w:t>
      </w:r>
    </w:p>
    <w:sectPr w:rsidR="00573FC1" w:rsidRPr="00B00C51" w:rsidSect="00A240BC">
      <w:head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A6544" w14:textId="77777777" w:rsidR="00606EB4" w:rsidRDefault="00606EB4" w:rsidP="00351EBA">
      <w:pPr>
        <w:spacing w:after="0" w:line="240" w:lineRule="auto"/>
      </w:pPr>
      <w:r>
        <w:separator/>
      </w:r>
    </w:p>
  </w:endnote>
  <w:endnote w:type="continuationSeparator" w:id="0">
    <w:p w14:paraId="70E637FE" w14:textId="77777777" w:rsidR="00606EB4" w:rsidRDefault="00606EB4" w:rsidP="00351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5536" w14:textId="77777777" w:rsidR="00606EB4" w:rsidRDefault="00606EB4" w:rsidP="00351EBA">
      <w:pPr>
        <w:spacing w:after="0" w:line="240" w:lineRule="auto"/>
      </w:pPr>
      <w:r>
        <w:separator/>
      </w:r>
    </w:p>
  </w:footnote>
  <w:footnote w:type="continuationSeparator" w:id="0">
    <w:p w14:paraId="76048C60" w14:textId="77777777" w:rsidR="00606EB4" w:rsidRDefault="00606EB4" w:rsidP="00351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C37D" w14:textId="52B16A6E" w:rsidR="006C4889" w:rsidRPr="00E87C34" w:rsidRDefault="00E87C34" w:rsidP="002F5758">
    <w:pPr>
      <w:pStyle w:val="Header"/>
      <w:jc w:val="center"/>
      <w:rPr>
        <w:i/>
        <w:iCs/>
        <w:color w:val="FF0000"/>
        <w:sz w:val="40"/>
        <w:szCs w:val="40"/>
      </w:rPr>
    </w:pPr>
    <w:r w:rsidRPr="00E87C34">
      <w:rPr>
        <w:i/>
        <w:iCs/>
        <w:noProof/>
        <w:color w:val="FF0000"/>
        <w:sz w:val="40"/>
        <w:szCs w:val="40"/>
      </w:rPr>
      <w:t>COMPANY HEADER</w:t>
    </w:r>
  </w:p>
  <w:p w14:paraId="5AD335D1" w14:textId="73C47514" w:rsidR="00A240BC" w:rsidRDefault="00A240BC" w:rsidP="002F5758">
    <w:pPr>
      <w:pStyle w:val="Header"/>
      <w:jc w:val="center"/>
    </w:pPr>
  </w:p>
  <w:p w14:paraId="52CC7E85" w14:textId="77777777" w:rsidR="00A240BC" w:rsidRDefault="00A240BC" w:rsidP="002F57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F1D"/>
    <w:multiLevelType w:val="hybridMultilevel"/>
    <w:tmpl w:val="30D249AA"/>
    <w:lvl w:ilvl="0" w:tplc="7E90E054">
      <w:start w:val="1"/>
      <w:numFmt w:val="bullet"/>
      <w:lvlText w:val="•"/>
      <w:lvlJc w:val="left"/>
      <w:pPr>
        <w:tabs>
          <w:tab w:val="num" w:pos="720"/>
        </w:tabs>
        <w:ind w:left="720" w:hanging="360"/>
      </w:pPr>
      <w:rPr>
        <w:rFonts w:ascii="Arial" w:hAnsi="Arial" w:hint="default"/>
      </w:rPr>
    </w:lvl>
    <w:lvl w:ilvl="1" w:tplc="8E7247A0">
      <w:start w:val="1"/>
      <w:numFmt w:val="bullet"/>
      <w:lvlText w:val="•"/>
      <w:lvlJc w:val="left"/>
      <w:pPr>
        <w:tabs>
          <w:tab w:val="num" w:pos="1440"/>
        </w:tabs>
        <w:ind w:left="1440" w:hanging="360"/>
      </w:pPr>
      <w:rPr>
        <w:rFonts w:ascii="Arial" w:hAnsi="Arial" w:hint="default"/>
      </w:rPr>
    </w:lvl>
    <w:lvl w:ilvl="2" w:tplc="2D4E6412">
      <w:numFmt w:val="bullet"/>
      <w:lvlText w:val="•"/>
      <w:lvlJc w:val="left"/>
      <w:pPr>
        <w:tabs>
          <w:tab w:val="num" w:pos="2160"/>
        </w:tabs>
        <w:ind w:left="2160" w:hanging="360"/>
      </w:pPr>
      <w:rPr>
        <w:rFonts w:ascii="Arial" w:hAnsi="Arial" w:hint="default"/>
      </w:rPr>
    </w:lvl>
    <w:lvl w:ilvl="3" w:tplc="6596AE48" w:tentative="1">
      <w:start w:val="1"/>
      <w:numFmt w:val="bullet"/>
      <w:lvlText w:val="•"/>
      <w:lvlJc w:val="left"/>
      <w:pPr>
        <w:tabs>
          <w:tab w:val="num" w:pos="2880"/>
        </w:tabs>
        <w:ind w:left="2880" w:hanging="360"/>
      </w:pPr>
      <w:rPr>
        <w:rFonts w:ascii="Arial" w:hAnsi="Arial" w:hint="default"/>
      </w:rPr>
    </w:lvl>
    <w:lvl w:ilvl="4" w:tplc="88709834" w:tentative="1">
      <w:start w:val="1"/>
      <w:numFmt w:val="bullet"/>
      <w:lvlText w:val="•"/>
      <w:lvlJc w:val="left"/>
      <w:pPr>
        <w:tabs>
          <w:tab w:val="num" w:pos="3600"/>
        </w:tabs>
        <w:ind w:left="3600" w:hanging="360"/>
      </w:pPr>
      <w:rPr>
        <w:rFonts w:ascii="Arial" w:hAnsi="Arial" w:hint="default"/>
      </w:rPr>
    </w:lvl>
    <w:lvl w:ilvl="5" w:tplc="69705204" w:tentative="1">
      <w:start w:val="1"/>
      <w:numFmt w:val="bullet"/>
      <w:lvlText w:val="•"/>
      <w:lvlJc w:val="left"/>
      <w:pPr>
        <w:tabs>
          <w:tab w:val="num" w:pos="4320"/>
        </w:tabs>
        <w:ind w:left="4320" w:hanging="360"/>
      </w:pPr>
      <w:rPr>
        <w:rFonts w:ascii="Arial" w:hAnsi="Arial" w:hint="default"/>
      </w:rPr>
    </w:lvl>
    <w:lvl w:ilvl="6" w:tplc="FD5A0778" w:tentative="1">
      <w:start w:val="1"/>
      <w:numFmt w:val="bullet"/>
      <w:lvlText w:val="•"/>
      <w:lvlJc w:val="left"/>
      <w:pPr>
        <w:tabs>
          <w:tab w:val="num" w:pos="5040"/>
        </w:tabs>
        <w:ind w:left="5040" w:hanging="360"/>
      </w:pPr>
      <w:rPr>
        <w:rFonts w:ascii="Arial" w:hAnsi="Arial" w:hint="default"/>
      </w:rPr>
    </w:lvl>
    <w:lvl w:ilvl="7" w:tplc="F282FA12" w:tentative="1">
      <w:start w:val="1"/>
      <w:numFmt w:val="bullet"/>
      <w:lvlText w:val="•"/>
      <w:lvlJc w:val="left"/>
      <w:pPr>
        <w:tabs>
          <w:tab w:val="num" w:pos="5760"/>
        </w:tabs>
        <w:ind w:left="5760" w:hanging="360"/>
      </w:pPr>
      <w:rPr>
        <w:rFonts w:ascii="Arial" w:hAnsi="Arial" w:hint="default"/>
      </w:rPr>
    </w:lvl>
    <w:lvl w:ilvl="8" w:tplc="46B4E5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2E586E"/>
    <w:multiLevelType w:val="hybridMultilevel"/>
    <w:tmpl w:val="98D8189E"/>
    <w:lvl w:ilvl="0" w:tplc="7A348EF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23133"/>
    <w:multiLevelType w:val="hybridMultilevel"/>
    <w:tmpl w:val="108C30AA"/>
    <w:lvl w:ilvl="0" w:tplc="AB788D5C">
      <w:start w:val="1"/>
      <w:numFmt w:val="bullet"/>
      <w:lvlText w:val="•"/>
      <w:lvlJc w:val="left"/>
      <w:pPr>
        <w:tabs>
          <w:tab w:val="num" w:pos="720"/>
        </w:tabs>
        <w:ind w:left="720" w:hanging="360"/>
      </w:pPr>
      <w:rPr>
        <w:rFonts w:ascii="Arial" w:hAnsi="Arial" w:hint="default"/>
      </w:rPr>
    </w:lvl>
    <w:lvl w:ilvl="1" w:tplc="7A348EF4">
      <w:numFmt w:val="bullet"/>
      <w:lvlText w:val="•"/>
      <w:lvlJc w:val="left"/>
      <w:pPr>
        <w:tabs>
          <w:tab w:val="num" w:pos="1440"/>
        </w:tabs>
        <w:ind w:left="1440" w:hanging="360"/>
      </w:pPr>
      <w:rPr>
        <w:rFonts w:ascii="Arial" w:hAnsi="Arial" w:hint="default"/>
      </w:rPr>
    </w:lvl>
    <w:lvl w:ilvl="2" w:tplc="CBB2E330" w:tentative="1">
      <w:start w:val="1"/>
      <w:numFmt w:val="bullet"/>
      <w:lvlText w:val="•"/>
      <w:lvlJc w:val="left"/>
      <w:pPr>
        <w:tabs>
          <w:tab w:val="num" w:pos="2160"/>
        </w:tabs>
        <w:ind w:left="2160" w:hanging="360"/>
      </w:pPr>
      <w:rPr>
        <w:rFonts w:ascii="Arial" w:hAnsi="Arial" w:hint="default"/>
      </w:rPr>
    </w:lvl>
    <w:lvl w:ilvl="3" w:tplc="25EE9FF8" w:tentative="1">
      <w:start w:val="1"/>
      <w:numFmt w:val="bullet"/>
      <w:lvlText w:val="•"/>
      <w:lvlJc w:val="left"/>
      <w:pPr>
        <w:tabs>
          <w:tab w:val="num" w:pos="2880"/>
        </w:tabs>
        <w:ind w:left="2880" w:hanging="360"/>
      </w:pPr>
      <w:rPr>
        <w:rFonts w:ascii="Arial" w:hAnsi="Arial" w:hint="default"/>
      </w:rPr>
    </w:lvl>
    <w:lvl w:ilvl="4" w:tplc="62D29C34" w:tentative="1">
      <w:start w:val="1"/>
      <w:numFmt w:val="bullet"/>
      <w:lvlText w:val="•"/>
      <w:lvlJc w:val="left"/>
      <w:pPr>
        <w:tabs>
          <w:tab w:val="num" w:pos="3600"/>
        </w:tabs>
        <w:ind w:left="3600" w:hanging="360"/>
      </w:pPr>
      <w:rPr>
        <w:rFonts w:ascii="Arial" w:hAnsi="Arial" w:hint="default"/>
      </w:rPr>
    </w:lvl>
    <w:lvl w:ilvl="5" w:tplc="EDEE66D2" w:tentative="1">
      <w:start w:val="1"/>
      <w:numFmt w:val="bullet"/>
      <w:lvlText w:val="•"/>
      <w:lvlJc w:val="left"/>
      <w:pPr>
        <w:tabs>
          <w:tab w:val="num" w:pos="4320"/>
        </w:tabs>
        <w:ind w:left="4320" w:hanging="360"/>
      </w:pPr>
      <w:rPr>
        <w:rFonts w:ascii="Arial" w:hAnsi="Arial" w:hint="default"/>
      </w:rPr>
    </w:lvl>
    <w:lvl w:ilvl="6" w:tplc="0D7A4A2E" w:tentative="1">
      <w:start w:val="1"/>
      <w:numFmt w:val="bullet"/>
      <w:lvlText w:val="•"/>
      <w:lvlJc w:val="left"/>
      <w:pPr>
        <w:tabs>
          <w:tab w:val="num" w:pos="5040"/>
        </w:tabs>
        <w:ind w:left="5040" w:hanging="360"/>
      </w:pPr>
      <w:rPr>
        <w:rFonts w:ascii="Arial" w:hAnsi="Arial" w:hint="default"/>
      </w:rPr>
    </w:lvl>
    <w:lvl w:ilvl="7" w:tplc="5014A540" w:tentative="1">
      <w:start w:val="1"/>
      <w:numFmt w:val="bullet"/>
      <w:lvlText w:val="•"/>
      <w:lvlJc w:val="left"/>
      <w:pPr>
        <w:tabs>
          <w:tab w:val="num" w:pos="5760"/>
        </w:tabs>
        <w:ind w:left="5760" w:hanging="360"/>
      </w:pPr>
      <w:rPr>
        <w:rFonts w:ascii="Arial" w:hAnsi="Arial" w:hint="default"/>
      </w:rPr>
    </w:lvl>
    <w:lvl w:ilvl="8" w:tplc="35161D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57384"/>
    <w:multiLevelType w:val="hybridMultilevel"/>
    <w:tmpl w:val="AB1C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415E7"/>
    <w:multiLevelType w:val="hybridMultilevel"/>
    <w:tmpl w:val="0646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F427F"/>
    <w:multiLevelType w:val="hybridMultilevel"/>
    <w:tmpl w:val="795AE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42EDF"/>
    <w:multiLevelType w:val="hybridMultilevel"/>
    <w:tmpl w:val="DA14AD9E"/>
    <w:lvl w:ilvl="0" w:tplc="7A348EF4">
      <w:numFmt w:val="bullet"/>
      <w:lvlText w:val="•"/>
      <w:lvlJc w:val="left"/>
      <w:pPr>
        <w:tabs>
          <w:tab w:val="num" w:pos="2160"/>
        </w:tabs>
        <w:ind w:left="216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D77E1A"/>
    <w:multiLevelType w:val="hybridMultilevel"/>
    <w:tmpl w:val="0254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67A9A"/>
    <w:multiLevelType w:val="hybridMultilevel"/>
    <w:tmpl w:val="95C6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930049"/>
    <w:multiLevelType w:val="hybridMultilevel"/>
    <w:tmpl w:val="5108317E"/>
    <w:lvl w:ilvl="0" w:tplc="2C307960">
      <w:start w:val="1"/>
      <w:numFmt w:val="bullet"/>
      <w:lvlText w:val="•"/>
      <w:lvlJc w:val="left"/>
      <w:pPr>
        <w:tabs>
          <w:tab w:val="num" w:pos="720"/>
        </w:tabs>
        <w:ind w:left="720" w:hanging="360"/>
      </w:pPr>
      <w:rPr>
        <w:rFonts w:ascii="Arial" w:hAnsi="Arial" w:hint="default"/>
      </w:rPr>
    </w:lvl>
    <w:lvl w:ilvl="1" w:tplc="D9A4F544" w:tentative="1">
      <w:start w:val="1"/>
      <w:numFmt w:val="bullet"/>
      <w:lvlText w:val="•"/>
      <w:lvlJc w:val="left"/>
      <w:pPr>
        <w:tabs>
          <w:tab w:val="num" w:pos="1440"/>
        </w:tabs>
        <w:ind w:left="1440" w:hanging="360"/>
      </w:pPr>
      <w:rPr>
        <w:rFonts w:ascii="Arial" w:hAnsi="Arial" w:hint="default"/>
      </w:rPr>
    </w:lvl>
    <w:lvl w:ilvl="2" w:tplc="F99685B4" w:tentative="1">
      <w:start w:val="1"/>
      <w:numFmt w:val="bullet"/>
      <w:lvlText w:val="•"/>
      <w:lvlJc w:val="left"/>
      <w:pPr>
        <w:tabs>
          <w:tab w:val="num" w:pos="2160"/>
        </w:tabs>
        <w:ind w:left="2160" w:hanging="360"/>
      </w:pPr>
      <w:rPr>
        <w:rFonts w:ascii="Arial" w:hAnsi="Arial" w:hint="default"/>
      </w:rPr>
    </w:lvl>
    <w:lvl w:ilvl="3" w:tplc="EA3CAC08" w:tentative="1">
      <w:start w:val="1"/>
      <w:numFmt w:val="bullet"/>
      <w:lvlText w:val="•"/>
      <w:lvlJc w:val="left"/>
      <w:pPr>
        <w:tabs>
          <w:tab w:val="num" w:pos="2880"/>
        </w:tabs>
        <w:ind w:left="2880" w:hanging="360"/>
      </w:pPr>
      <w:rPr>
        <w:rFonts w:ascii="Arial" w:hAnsi="Arial" w:hint="default"/>
      </w:rPr>
    </w:lvl>
    <w:lvl w:ilvl="4" w:tplc="606C7A08" w:tentative="1">
      <w:start w:val="1"/>
      <w:numFmt w:val="bullet"/>
      <w:lvlText w:val="•"/>
      <w:lvlJc w:val="left"/>
      <w:pPr>
        <w:tabs>
          <w:tab w:val="num" w:pos="3600"/>
        </w:tabs>
        <w:ind w:left="3600" w:hanging="360"/>
      </w:pPr>
      <w:rPr>
        <w:rFonts w:ascii="Arial" w:hAnsi="Arial" w:hint="default"/>
      </w:rPr>
    </w:lvl>
    <w:lvl w:ilvl="5" w:tplc="24D436EE" w:tentative="1">
      <w:start w:val="1"/>
      <w:numFmt w:val="bullet"/>
      <w:lvlText w:val="•"/>
      <w:lvlJc w:val="left"/>
      <w:pPr>
        <w:tabs>
          <w:tab w:val="num" w:pos="4320"/>
        </w:tabs>
        <w:ind w:left="4320" w:hanging="360"/>
      </w:pPr>
      <w:rPr>
        <w:rFonts w:ascii="Arial" w:hAnsi="Arial" w:hint="default"/>
      </w:rPr>
    </w:lvl>
    <w:lvl w:ilvl="6" w:tplc="9A3A34B8" w:tentative="1">
      <w:start w:val="1"/>
      <w:numFmt w:val="bullet"/>
      <w:lvlText w:val="•"/>
      <w:lvlJc w:val="left"/>
      <w:pPr>
        <w:tabs>
          <w:tab w:val="num" w:pos="5040"/>
        </w:tabs>
        <w:ind w:left="5040" w:hanging="360"/>
      </w:pPr>
      <w:rPr>
        <w:rFonts w:ascii="Arial" w:hAnsi="Arial" w:hint="default"/>
      </w:rPr>
    </w:lvl>
    <w:lvl w:ilvl="7" w:tplc="EA9E631C" w:tentative="1">
      <w:start w:val="1"/>
      <w:numFmt w:val="bullet"/>
      <w:lvlText w:val="•"/>
      <w:lvlJc w:val="left"/>
      <w:pPr>
        <w:tabs>
          <w:tab w:val="num" w:pos="5760"/>
        </w:tabs>
        <w:ind w:left="5760" w:hanging="360"/>
      </w:pPr>
      <w:rPr>
        <w:rFonts w:ascii="Arial" w:hAnsi="Arial" w:hint="default"/>
      </w:rPr>
    </w:lvl>
    <w:lvl w:ilvl="8" w:tplc="87F0ACE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9"/>
  </w:num>
  <w:num w:numId="4">
    <w:abstractNumId w:val="5"/>
  </w:num>
  <w:num w:numId="5">
    <w:abstractNumId w:val="8"/>
  </w:num>
  <w:num w:numId="6">
    <w:abstractNumId w:val="3"/>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62"/>
    <w:rsid w:val="00013EE5"/>
    <w:rsid w:val="00062562"/>
    <w:rsid w:val="000D4679"/>
    <w:rsid w:val="001C5D56"/>
    <w:rsid w:val="00275160"/>
    <w:rsid w:val="002C067B"/>
    <w:rsid w:val="002F5758"/>
    <w:rsid w:val="00351EBA"/>
    <w:rsid w:val="003522EF"/>
    <w:rsid w:val="00377E57"/>
    <w:rsid w:val="003A48E8"/>
    <w:rsid w:val="003D3E7F"/>
    <w:rsid w:val="003E552B"/>
    <w:rsid w:val="00491918"/>
    <w:rsid w:val="00573FC1"/>
    <w:rsid w:val="00606EB4"/>
    <w:rsid w:val="006C4889"/>
    <w:rsid w:val="006E7AAC"/>
    <w:rsid w:val="0088620C"/>
    <w:rsid w:val="008B7085"/>
    <w:rsid w:val="009653B0"/>
    <w:rsid w:val="009B4F35"/>
    <w:rsid w:val="00A105E2"/>
    <w:rsid w:val="00A240BC"/>
    <w:rsid w:val="00A370B7"/>
    <w:rsid w:val="00AD3A79"/>
    <w:rsid w:val="00B00C51"/>
    <w:rsid w:val="00B1247D"/>
    <w:rsid w:val="00B25C93"/>
    <w:rsid w:val="00B87FB0"/>
    <w:rsid w:val="00D35C7E"/>
    <w:rsid w:val="00DC499B"/>
    <w:rsid w:val="00DD3ABF"/>
    <w:rsid w:val="00E05174"/>
    <w:rsid w:val="00E205F5"/>
    <w:rsid w:val="00E87C34"/>
    <w:rsid w:val="00EE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B4CC5"/>
  <w15:chartTrackingRefBased/>
  <w15:docId w15:val="{026BE9EF-56A0-4E06-B6C3-32CAC9FD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52B"/>
    <w:pPr>
      <w:ind w:left="720"/>
      <w:contextualSpacing/>
    </w:pPr>
  </w:style>
  <w:style w:type="character" w:styleId="Hyperlink">
    <w:name w:val="Hyperlink"/>
    <w:basedOn w:val="DefaultParagraphFont"/>
    <w:uiPriority w:val="99"/>
    <w:unhideWhenUsed/>
    <w:rsid w:val="00B00C51"/>
    <w:rPr>
      <w:color w:val="0563C1" w:themeColor="hyperlink"/>
      <w:u w:val="single"/>
    </w:rPr>
  </w:style>
  <w:style w:type="character" w:styleId="UnresolvedMention">
    <w:name w:val="Unresolved Mention"/>
    <w:basedOn w:val="DefaultParagraphFont"/>
    <w:uiPriority w:val="99"/>
    <w:semiHidden/>
    <w:unhideWhenUsed/>
    <w:rsid w:val="00B00C51"/>
    <w:rPr>
      <w:color w:val="605E5C"/>
      <w:shd w:val="clear" w:color="auto" w:fill="E1DFDD"/>
    </w:rPr>
  </w:style>
  <w:style w:type="paragraph" w:styleId="Header">
    <w:name w:val="header"/>
    <w:basedOn w:val="Normal"/>
    <w:link w:val="HeaderChar"/>
    <w:uiPriority w:val="99"/>
    <w:unhideWhenUsed/>
    <w:rsid w:val="00351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EBA"/>
  </w:style>
  <w:style w:type="paragraph" w:styleId="Footer">
    <w:name w:val="footer"/>
    <w:basedOn w:val="Normal"/>
    <w:link w:val="FooterChar"/>
    <w:uiPriority w:val="99"/>
    <w:unhideWhenUsed/>
    <w:rsid w:val="00351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EBA"/>
  </w:style>
  <w:style w:type="table" w:styleId="TableGrid">
    <w:name w:val="Table Grid"/>
    <w:basedOn w:val="TableNormal"/>
    <w:uiPriority w:val="39"/>
    <w:rsid w:val="00352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66712">
      <w:bodyDiv w:val="1"/>
      <w:marLeft w:val="0"/>
      <w:marRight w:val="0"/>
      <w:marTop w:val="0"/>
      <w:marBottom w:val="0"/>
      <w:divBdr>
        <w:top w:val="none" w:sz="0" w:space="0" w:color="auto"/>
        <w:left w:val="none" w:sz="0" w:space="0" w:color="auto"/>
        <w:bottom w:val="none" w:sz="0" w:space="0" w:color="auto"/>
        <w:right w:val="none" w:sz="0" w:space="0" w:color="auto"/>
      </w:divBdr>
      <w:divsChild>
        <w:div w:id="2084913877">
          <w:marLeft w:val="360"/>
          <w:marRight w:val="0"/>
          <w:marTop w:val="200"/>
          <w:marBottom w:val="0"/>
          <w:divBdr>
            <w:top w:val="none" w:sz="0" w:space="0" w:color="auto"/>
            <w:left w:val="none" w:sz="0" w:space="0" w:color="auto"/>
            <w:bottom w:val="none" w:sz="0" w:space="0" w:color="auto"/>
            <w:right w:val="none" w:sz="0" w:space="0" w:color="auto"/>
          </w:divBdr>
        </w:div>
        <w:div w:id="1731730791">
          <w:marLeft w:val="1080"/>
          <w:marRight w:val="0"/>
          <w:marTop w:val="100"/>
          <w:marBottom w:val="0"/>
          <w:divBdr>
            <w:top w:val="none" w:sz="0" w:space="0" w:color="auto"/>
            <w:left w:val="none" w:sz="0" w:space="0" w:color="auto"/>
            <w:bottom w:val="none" w:sz="0" w:space="0" w:color="auto"/>
            <w:right w:val="none" w:sz="0" w:space="0" w:color="auto"/>
          </w:divBdr>
        </w:div>
        <w:div w:id="1984700587">
          <w:marLeft w:val="1080"/>
          <w:marRight w:val="0"/>
          <w:marTop w:val="100"/>
          <w:marBottom w:val="0"/>
          <w:divBdr>
            <w:top w:val="none" w:sz="0" w:space="0" w:color="auto"/>
            <w:left w:val="none" w:sz="0" w:space="0" w:color="auto"/>
            <w:bottom w:val="none" w:sz="0" w:space="0" w:color="auto"/>
            <w:right w:val="none" w:sz="0" w:space="0" w:color="auto"/>
          </w:divBdr>
        </w:div>
      </w:divsChild>
    </w:div>
    <w:div w:id="1965694719">
      <w:bodyDiv w:val="1"/>
      <w:marLeft w:val="0"/>
      <w:marRight w:val="0"/>
      <w:marTop w:val="0"/>
      <w:marBottom w:val="0"/>
      <w:divBdr>
        <w:top w:val="none" w:sz="0" w:space="0" w:color="auto"/>
        <w:left w:val="none" w:sz="0" w:space="0" w:color="auto"/>
        <w:bottom w:val="none" w:sz="0" w:space="0" w:color="auto"/>
        <w:right w:val="none" w:sz="0" w:space="0" w:color="auto"/>
      </w:divBdr>
      <w:divsChild>
        <w:div w:id="143939036">
          <w:marLeft w:val="1080"/>
          <w:marRight w:val="0"/>
          <w:marTop w:val="100"/>
          <w:marBottom w:val="0"/>
          <w:divBdr>
            <w:top w:val="none" w:sz="0" w:space="0" w:color="auto"/>
            <w:left w:val="none" w:sz="0" w:space="0" w:color="auto"/>
            <w:bottom w:val="none" w:sz="0" w:space="0" w:color="auto"/>
            <w:right w:val="none" w:sz="0" w:space="0" w:color="auto"/>
          </w:divBdr>
        </w:div>
        <w:div w:id="1277370161">
          <w:marLeft w:val="1800"/>
          <w:marRight w:val="0"/>
          <w:marTop w:val="100"/>
          <w:marBottom w:val="0"/>
          <w:divBdr>
            <w:top w:val="none" w:sz="0" w:space="0" w:color="auto"/>
            <w:left w:val="none" w:sz="0" w:space="0" w:color="auto"/>
            <w:bottom w:val="none" w:sz="0" w:space="0" w:color="auto"/>
            <w:right w:val="none" w:sz="0" w:space="0" w:color="auto"/>
          </w:divBdr>
        </w:div>
        <w:div w:id="198857967">
          <w:marLeft w:val="1800"/>
          <w:marRight w:val="0"/>
          <w:marTop w:val="100"/>
          <w:marBottom w:val="0"/>
          <w:divBdr>
            <w:top w:val="none" w:sz="0" w:space="0" w:color="auto"/>
            <w:left w:val="none" w:sz="0" w:space="0" w:color="auto"/>
            <w:bottom w:val="none" w:sz="0" w:space="0" w:color="auto"/>
            <w:right w:val="none" w:sz="0" w:space="0" w:color="auto"/>
          </w:divBdr>
        </w:div>
        <w:div w:id="1334725847">
          <w:marLeft w:val="1080"/>
          <w:marRight w:val="0"/>
          <w:marTop w:val="100"/>
          <w:marBottom w:val="0"/>
          <w:divBdr>
            <w:top w:val="none" w:sz="0" w:space="0" w:color="auto"/>
            <w:left w:val="none" w:sz="0" w:space="0" w:color="auto"/>
            <w:bottom w:val="none" w:sz="0" w:space="0" w:color="auto"/>
            <w:right w:val="none" w:sz="0" w:space="0" w:color="auto"/>
          </w:divBdr>
        </w:div>
      </w:divsChild>
    </w:div>
    <w:div w:id="2082411893">
      <w:bodyDiv w:val="1"/>
      <w:marLeft w:val="0"/>
      <w:marRight w:val="0"/>
      <w:marTop w:val="0"/>
      <w:marBottom w:val="0"/>
      <w:divBdr>
        <w:top w:val="none" w:sz="0" w:space="0" w:color="auto"/>
        <w:left w:val="none" w:sz="0" w:space="0" w:color="auto"/>
        <w:bottom w:val="none" w:sz="0" w:space="0" w:color="auto"/>
        <w:right w:val="none" w:sz="0" w:space="0" w:color="auto"/>
      </w:divBdr>
      <w:divsChild>
        <w:div w:id="789327088">
          <w:marLeft w:val="360"/>
          <w:marRight w:val="0"/>
          <w:marTop w:val="200"/>
          <w:marBottom w:val="0"/>
          <w:divBdr>
            <w:top w:val="none" w:sz="0" w:space="0" w:color="auto"/>
            <w:left w:val="none" w:sz="0" w:space="0" w:color="auto"/>
            <w:bottom w:val="none" w:sz="0" w:space="0" w:color="auto"/>
            <w:right w:val="none" w:sz="0" w:space="0" w:color="auto"/>
          </w:divBdr>
        </w:div>
        <w:div w:id="1133673576">
          <w:marLeft w:val="360"/>
          <w:marRight w:val="0"/>
          <w:marTop w:val="200"/>
          <w:marBottom w:val="0"/>
          <w:divBdr>
            <w:top w:val="none" w:sz="0" w:space="0" w:color="auto"/>
            <w:left w:val="none" w:sz="0" w:space="0" w:color="auto"/>
            <w:bottom w:val="none" w:sz="0" w:space="0" w:color="auto"/>
            <w:right w:val="none" w:sz="0" w:space="0" w:color="auto"/>
          </w:divBdr>
        </w:div>
        <w:div w:id="17399406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trand@socma.org"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protect-us.mimecast.com/s/_iz6CW60ApH59MOiKda8-?domain=socm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coronavirus/2019-ncov/vaccines/keythingstoknow.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7CFF3E7087147AE64971C3145F85C" ma:contentTypeVersion="13" ma:contentTypeDescription="Create a new document." ma:contentTypeScope="" ma:versionID="dce54a1c6e7b73c166fd0691cda6e704">
  <xsd:schema xmlns:xsd="http://www.w3.org/2001/XMLSchema" xmlns:xs="http://www.w3.org/2001/XMLSchema" xmlns:p="http://schemas.microsoft.com/office/2006/metadata/properties" xmlns:ns2="db8b4d9d-0e4b-46ec-9231-183801eae115" xmlns:ns3="0d1654e5-77b8-452f-a929-732c81f85c02" targetNamespace="http://schemas.microsoft.com/office/2006/metadata/properties" ma:root="true" ma:fieldsID="c0aa873fb9434a6022e19817b1f68560" ns2:_="" ns3:_="">
    <xsd:import namespace="db8b4d9d-0e4b-46ec-9231-183801eae115"/>
    <xsd:import namespace="0d1654e5-77b8-452f-a929-732c81f85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b4d9d-0e4b-46ec-9231-183801ea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1654e5-77b8-452f-a929-732c81f85c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BA0565-C219-48C2-A940-92D1800D0285}"/>
</file>

<file path=customXml/itemProps2.xml><?xml version="1.0" encoding="utf-8"?>
<ds:datastoreItem xmlns:ds="http://schemas.openxmlformats.org/officeDocument/2006/customXml" ds:itemID="{48233679-9D20-402B-ADE5-0AD13DB10F95}"/>
</file>

<file path=customXml/itemProps3.xml><?xml version="1.0" encoding="utf-8"?>
<ds:datastoreItem xmlns:ds="http://schemas.openxmlformats.org/officeDocument/2006/customXml" ds:itemID="{502570F1-A453-473D-AE33-1A1F786FA3A4}"/>
</file>

<file path=docProps/app.xml><?xml version="1.0" encoding="utf-8"?>
<Properties xmlns="http://schemas.openxmlformats.org/officeDocument/2006/extended-properties" xmlns:vt="http://schemas.openxmlformats.org/officeDocument/2006/docPropsVTypes">
  <Template>Normal</Template>
  <TotalTime>53</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Genevieve Strand</dc:creator>
  <cp:keywords/>
  <dc:description/>
  <cp:lastModifiedBy>Genevieve Strand</cp:lastModifiedBy>
  <cp:revision>18</cp:revision>
  <dcterms:created xsi:type="dcterms:W3CDTF">2021-11-30T17:16:00Z</dcterms:created>
  <dcterms:modified xsi:type="dcterms:W3CDTF">2021-11-30T19:35:00Z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0x0101004BC7CFF3E7087147AE64971C3145F85C</vt:lpwstr>
  </property>
</Properties>
</file>